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EEC" w:rsidRDefault="00F84EEC" w:rsidP="00F84EEC">
      <w:pPr>
        <w:pStyle w:val="NormalWeb"/>
        <w:jc w:val="center"/>
        <w:rPr>
          <w:rFonts w:eastAsia="Times New Roman"/>
          <w:b/>
          <w:bCs/>
        </w:rPr>
      </w:pPr>
      <w:r w:rsidRPr="00F84EEC">
        <w:rPr>
          <w:rFonts w:eastAsia="Times New Roman"/>
          <w:b/>
          <w:bCs/>
        </w:rPr>
        <w:t xml:space="preserve">Center for </w:t>
      </w:r>
      <w:proofErr w:type="spellStart"/>
      <w:r w:rsidRPr="00F84EEC">
        <w:rPr>
          <w:rFonts w:eastAsia="Times New Roman"/>
          <w:b/>
          <w:bCs/>
        </w:rPr>
        <w:t>Precollegiate</w:t>
      </w:r>
      <w:proofErr w:type="spellEnd"/>
      <w:r w:rsidRPr="00F84EEC">
        <w:rPr>
          <w:rFonts w:eastAsia="Times New Roman"/>
          <w:b/>
          <w:bCs/>
        </w:rPr>
        <w:t xml:space="preserve"> Education and Training</w:t>
      </w:r>
      <w:r>
        <w:rPr>
          <w:rFonts w:eastAsia="Times New Roman"/>
          <w:b/>
          <w:bCs/>
        </w:rPr>
        <w:t xml:space="preserve"> (CPET)</w:t>
      </w:r>
    </w:p>
    <w:p w:rsidR="00F84EEC" w:rsidRPr="00F84EEC" w:rsidRDefault="000677D4" w:rsidP="00F84EEC">
      <w:pPr>
        <w:pStyle w:val="NormalWeb"/>
        <w:rPr>
          <w:rFonts w:eastAsia="Times New Roman"/>
          <w:bCs/>
        </w:rPr>
      </w:pPr>
      <w:r w:rsidRPr="000677D4">
        <w:rPr>
          <w:rFonts w:eastAsia="Times New Roman"/>
          <w:bCs/>
        </w:rPr>
        <w:t xml:space="preserve"> </w:t>
      </w:r>
      <w:r w:rsidR="00F84EEC" w:rsidRPr="00F84EEC">
        <w:rPr>
          <w:rFonts w:eastAsia="Times New Roman"/>
          <w:bCs/>
        </w:rPr>
        <w:t xml:space="preserve">The Center for </w:t>
      </w:r>
      <w:proofErr w:type="spellStart"/>
      <w:r w:rsidR="00F84EEC" w:rsidRPr="00F84EEC">
        <w:rPr>
          <w:rFonts w:eastAsia="Times New Roman"/>
          <w:bCs/>
        </w:rPr>
        <w:t>Precollegiate</w:t>
      </w:r>
      <w:proofErr w:type="spellEnd"/>
      <w:r w:rsidR="00F84EEC" w:rsidRPr="00F84EEC">
        <w:rPr>
          <w:rFonts w:eastAsia="Times New Roman"/>
          <w:bCs/>
        </w:rPr>
        <w:t xml:space="preserve"> Education and Training (UF CPET) promotes and supports the use of the facilities and faculty of the research university in the preparation and enhancement of science and technology teaching at the secondary education level. As the University of Florida “umbrella” for the articulation and transfer of science and technology to public school and community college teachers, students and the public-at-large, UF CPET combines many outreach activities, providing access to university research disciplines/faculty and fostering life-long relationships between researchers, teachers and students. UF CPET science education programs enable individualized and team-centered direct, and ultimately pervasive, public dissemination of research and knowledge through enhanced teaching.</w:t>
      </w:r>
    </w:p>
    <w:p w:rsidR="00F84EEC" w:rsidRPr="00F84EEC" w:rsidRDefault="00F84EEC" w:rsidP="00F84EEC">
      <w:pPr>
        <w:pStyle w:val="NormalWeb"/>
        <w:rPr>
          <w:rFonts w:eastAsia="Times New Roman"/>
          <w:bCs/>
        </w:rPr>
      </w:pPr>
      <w:r w:rsidRPr="00F84EEC">
        <w:rPr>
          <w:rFonts w:eastAsia="Times New Roman"/>
          <w:bCs/>
        </w:rPr>
        <w:t>These objectives allow teachers, students, graduate students, researchers and industry stakeholders to be at the forefront of science and technology literacy, educational vision and workforce development by uniting them in laboratory-based investigations and technology-driven solutions in STEM (science, technology, engineering and mathematics) fields.  Our programs are developed and coordinated to meet five goals:</w:t>
      </w:r>
    </w:p>
    <w:p w:rsidR="00F84EEC" w:rsidRPr="00F84EEC" w:rsidRDefault="00F84EEC" w:rsidP="00F84EEC">
      <w:pPr>
        <w:pStyle w:val="NormalWeb"/>
        <w:numPr>
          <w:ilvl w:val="0"/>
          <w:numId w:val="27"/>
        </w:numPr>
        <w:rPr>
          <w:rFonts w:eastAsia="Times New Roman"/>
          <w:bCs/>
        </w:rPr>
      </w:pPr>
      <w:r w:rsidRPr="00F84EEC">
        <w:rPr>
          <w:rFonts w:eastAsia="Times New Roman"/>
          <w:bCs/>
        </w:rPr>
        <w:t xml:space="preserve">The promotion of excellence in science, math, and technology </w:t>
      </w:r>
    </w:p>
    <w:p w:rsidR="00F84EEC" w:rsidRPr="00F84EEC" w:rsidRDefault="00F84EEC" w:rsidP="00F84EEC">
      <w:pPr>
        <w:pStyle w:val="NormalWeb"/>
        <w:numPr>
          <w:ilvl w:val="0"/>
          <w:numId w:val="27"/>
        </w:numPr>
        <w:rPr>
          <w:rFonts w:eastAsia="Times New Roman"/>
          <w:bCs/>
        </w:rPr>
      </w:pPr>
      <w:r w:rsidRPr="00F84EEC">
        <w:rPr>
          <w:rFonts w:eastAsia="Times New Roman"/>
          <w:bCs/>
        </w:rPr>
        <w:t xml:space="preserve">The fostering of interdisciplinary science education throughout university research centers </w:t>
      </w:r>
    </w:p>
    <w:p w:rsidR="00F84EEC" w:rsidRPr="00F84EEC" w:rsidRDefault="00F84EEC" w:rsidP="00F84EEC">
      <w:pPr>
        <w:pStyle w:val="NormalWeb"/>
        <w:numPr>
          <w:ilvl w:val="0"/>
          <w:numId w:val="27"/>
        </w:numPr>
        <w:rPr>
          <w:rFonts w:eastAsia="Times New Roman"/>
          <w:bCs/>
        </w:rPr>
      </w:pPr>
      <w:r w:rsidRPr="00F84EEC">
        <w:rPr>
          <w:rFonts w:eastAsia="Times New Roman"/>
          <w:bCs/>
        </w:rPr>
        <w:t xml:space="preserve">The forging of partnerships among researchers, schools, communities and industries </w:t>
      </w:r>
    </w:p>
    <w:p w:rsidR="00F84EEC" w:rsidRPr="00F84EEC" w:rsidRDefault="00F84EEC" w:rsidP="00F84EEC">
      <w:pPr>
        <w:pStyle w:val="NormalWeb"/>
        <w:numPr>
          <w:ilvl w:val="0"/>
          <w:numId w:val="27"/>
        </w:numPr>
        <w:rPr>
          <w:rFonts w:eastAsia="Times New Roman"/>
          <w:bCs/>
        </w:rPr>
      </w:pPr>
      <w:r w:rsidRPr="00F84EEC">
        <w:rPr>
          <w:rFonts w:eastAsia="Times New Roman"/>
          <w:bCs/>
        </w:rPr>
        <w:t xml:space="preserve">The continual integration of research process and product knowledge with National Education Goals </w:t>
      </w:r>
    </w:p>
    <w:p w:rsidR="0092311A" w:rsidRPr="00F84EEC" w:rsidRDefault="00F84EEC" w:rsidP="00F84EEC">
      <w:pPr>
        <w:pStyle w:val="NormalWeb"/>
        <w:numPr>
          <w:ilvl w:val="0"/>
          <w:numId w:val="27"/>
        </w:numPr>
        <w:rPr>
          <w:rFonts w:eastAsia="Times New Roman"/>
          <w:bCs/>
        </w:rPr>
      </w:pPr>
      <w:r w:rsidRPr="00F84EEC">
        <w:rPr>
          <w:rFonts w:eastAsia="Times New Roman"/>
          <w:bCs/>
        </w:rPr>
        <w:t>The fostering of the skills of research students, graduate students and faculty to bring their work to the public</w:t>
      </w:r>
      <w:bookmarkStart w:id="0" w:name="_GoBack"/>
      <w:bookmarkEnd w:id="0"/>
    </w:p>
    <w:sectPr w:rsidR="0092311A" w:rsidRPr="00F84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2"/>
  </w:num>
  <w:num w:numId="3">
    <w:abstractNumId w:val="14"/>
  </w:num>
  <w:num w:numId="4">
    <w:abstractNumId w:val="20"/>
  </w:num>
  <w:num w:numId="5">
    <w:abstractNumId w:val="9"/>
  </w:num>
  <w:num w:numId="6">
    <w:abstractNumId w:val="25"/>
  </w:num>
  <w:num w:numId="7">
    <w:abstractNumId w:val="4"/>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21"/>
  </w:num>
  <w:num w:numId="13">
    <w:abstractNumId w:val="0"/>
  </w:num>
  <w:num w:numId="14">
    <w:abstractNumId w:val="10"/>
  </w:num>
  <w:num w:numId="15">
    <w:abstractNumId w:val="5"/>
  </w:num>
  <w:num w:numId="16">
    <w:abstractNumId w:val="1"/>
  </w:num>
  <w:num w:numId="17">
    <w:abstractNumId w:val="24"/>
  </w:num>
  <w:num w:numId="18">
    <w:abstractNumId w:val="12"/>
  </w:num>
  <w:num w:numId="19">
    <w:abstractNumId w:val="26"/>
  </w:num>
  <w:num w:numId="20">
    <w:abstractNumId w:val="7"/>
  </w:num>
  <w:num w:numId="21">
    <w:abstractNumId w:val="19"/>
  </w:num>
  <w:num w:numId="22">
    <w:abstractNumId w:val="23"/>
  </w:num>
  <w:num w:numId="23">
    <w:abstractNumId w:val="2"/>
  </w:num>
  <w:num w:numId="24">
    <w:abstractNumId w:val="18"/>
  </w:num>
  <w:num w:numId="25">
    <w:abstractNumId w:val="8"/>
  </w:num>
  <w:num w:numId="26">
    <w:abstractNumId w:val="1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8363F"/>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0827"/>
    <w:rsid w:val="00463EAA"/>
    <w:rsid w:val="00465892"/>
    <w:rsid w:val="004E1DE7"/>
    <w:rsid w:val="00520B33"/>
    <w:rsid w:val="00533064"/>
    <w:rsid w:val="00553FB2"/>
    <w:rsid w:val="00567584"/>
    <w:rsid w:val="00594392"/>
    <w:rsid w:val="005D087E"/>
    <w:rsid w:val="005D227F"/>
    <w:rsid w:val="005E3700"/>
    <w:rsid w:val="00610C43"/>
    <w:rsid w:val="00612BA4"/>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C399B"/>
    <w:rsid w:val="00A81556"/>
    <w:rsid w:val="00AD45DD"/>
    <w:rsid w:val="00AE30D0"/>
    <w:rsid w:val="00B37111"/>
    <w:rsid w:val="00B611DC"/>
    <w:rsid w:val="00B77313"/>
    <w:rsid w:val="00C167DA"/>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1466</Characters>
  <Application>Microsoft Office Word</Application>
  <DocSecurity>0</DocSecurity>
  <Lines>31</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2014-02-26T16:08:00Z</dcterms:created>
  <dcterms:modified xsi:type="dcterms:W3CDTF">2014-02-26T16:08:00Z</dcterms:modified>
</cp:coreProperties>
</file>