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87" w:rsidRDefault="000F4CC8" w:rsidP="002A5B87">
      <w:pPr>
        <w:pStyle w:val="NormalWeb"/>
        <w:jc w:val="center"/>
        <w:rPr>
          <w:b/>
        </w:rPr>
      </w:pPr>
      <w:r>
        <w:rPr>
          <w:b/>
        </w:rPr>
        <w:t>Global Pathogens Laboratory (GPL)</w:t>
      </w:r>
      <w:bookmarkStart w:id="0" w:name="_GoBack"/>
      <w:bookmarkEnd w:id="0"/>
    </w:p>
    <w:p w:rsidR="000F4CC8" w:rsidRPr="000F4CC8" w:rsidRDefault="000F4CC8" w:rsidP="000F4CC8">
      <w:pPr>
        <w:pStyle w:val="NormalWeb"/>
        <w:rPr>
          <w:rFonts w:eastAsia="Times New Roman"/>
          <w:lang w:val="en"/>
        </w:rPr>
      </w:pPr>
      <w:r w:rsidRPr="000F4CC8">
        <w:rPr>
          <w:rFonts w:eastAsia="Times New Roman"/>
          <w:lang w:val="en"/>
        </w:rPr>
        <w:t xml:space="preserve">The laboratory focuses upon research and training regarding emerging infectious diseases, particularly those which are zoonotic. The laboratory has a national reputation for excellence in respiratory virus work. It is well-suited to support complex epidemiological studies of emerging pathogens including large cohort studies, evaluation of diagnostic tests, and clinical trials. </w:t>
      </w:r>
      <w:proofErr w:type="gramStart"/>
      <w:r w:rsidRPr="000F4CC8">
        <w:rPr>
          <w:rFonts w:eastAsia="Times New Roman"/>
          <w:lang w:val="en"/>
        </w:rPr>
        <w:t>It’s</w:t>
      </w:r>
      <w:proofErr w:type="gramEnd"/>
      <w:r w:rsidRPr="000F4CC8">
        <w:rPr>
          <w:rFonts w:eastAsia="Times New Roman"/>
          <w:lang w:val="en"/>
        </w:rPr>
        <w:t xml:space="preserve"> Emerging Pathogens Laboratory is a modern 3000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collection of BSL2 and BSL3 laboratory spaces and offices. This includes 1300+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of BSL2 laboratory space for work with human pathogens, 1200+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of BSL2 (USDA Ag-enhanced) laboratory space with HEPA-filtered exhaust for work with USDA BSL2 pathogens, two procedure rooms (~200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each) in a BSL3+ suite, 330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for 3 offices, and desk space for 11 students in </w:t>
      </w:r>
      <w:proofErr w:type="spellStart"/>
      <w:r w:rsidRPr="000F4CC8">
        <w:rPr>
          <w:rFonts w:eastAsia="Times New Roman"/>
          <w:lang w:val="en"/>
        </w:rPr>
        <w:t>a</w:t>
      </w:r>
      <w:proofErr w:type="spellEnd"/>
      <w:r w:rsidRPr="000F4CC8">
        <w:rPr>
          <w:rFonts w:eastAsia="Times New Roman"/>
          <w:lang w:val="en"/>
        </w:rPr>
        <w:t xml:space="preserve"> area adjacent to the laboratory, in addition to 1885 </w:t>
      </w:r>
      <w:proofErr w:type="spellStart"/>
      <w:r w:rsidRPr="000F4CC8">
        <w:rPr>
          <w:rFonts w:eastAsia="Times New Roman"/>
          <w:lang w:val="en"/>
        </w:rPr>
        <w:t>sq-ft</w:t>
      </w:r>
      <w:proofErr w:type="spellEnd"/>
      <w:r w:rsidRPr="000F4CC8">
        <w:rPr>
          <w:rFonts w:eastAsia="Times New Roman"/>
          <w:lang w:val="en"/>
        </w:rPr>
        <w:t xml:space="preserve"> of shared spaces and storage.</w:t>
      </w:r>
    </w:p>
    <w:p w:rsidR="000F4CC8" w:rsidRPr="000F4CC8" w:rsidRDefault="000F4CC8" w:rsidP="000F4CC8">
      <w:pPr>
        <w:pStyle w:val="NormalWeb"/>
        <w:rPr>
          <w:rFonts w:eastAsia="Times New Roman"/>
          <w:lang w:val="en"/>
        </w:rPr>
      </w:pPr>
      <w:r w:rsidRPr="000F4CC8">
        <w:rPr>
          <w:rFonts w:eastAsia="Times New Roman"/>
          <w:lang w:val="en"/>
        </w:rPr>
        <w:t xml:space="preserve">Laboratory personnel are adept in viral and bacterial culture, molecular identification, serotyping, genotyping, and serological studies. The GPL is divided into three sections: virology, serology, and molecular studies. Laboratory </w:t>
      </w:r>
      <w:proofErr w:type="gramStart"/>
      <w:r w:rsidRPr="000F4CC8">
        <w:rPr>
          <w:rFonts w:eastAsia="Times New Roman"/>
          <w:lang w:val="en"/>
        </w:rPr>
        <w:t>staff use</w:t>
      </w:r>
      <w:proofErr w:type="gramEnd"/>
      <w:r w:rsidRPr="000F4CC8">
        <w:rPr>
          <w:rFonts w:eastAsia="Times New Roman"/>
          <w:lang w:val="en"/>
        </w:rPr>
        <w:t xml:space="preserve"> 5 desk top computers and 3 printers, with access to a shared network printer/scanner/fax. The BSL2 laboratory space is equipped with two certified class II biological safety cabinets with vacuum. The laboratories also have multiple large -80°C upright freezers, laboratory refrigerators, CO2 water-jacketed incubators, a rocking egg incubator, </w:t>
      </w:r>
      <w:proofErr w:type="spellStart"/>
      <w:r w:rsidRPr="000F4CC8">
        <w:rPr>
          <w:rFonts w:eastAsia="Times New Roman"/>
          <w:lang w:val="en"/>
        </w:rPr>
        <w:t>microcentrifuges</w:t>
      </w:r>
      <w:proofErr w:type="spellEnd"/>
      <w:r w:rsidRPr="000F4CC8">
        <w:rPr>
          <w:rFonts w:eastAsia="Times New Roman"/>
          <w:lang w:val="en"/>
        </w:rPr>
        <w:t xml:space="preserve">, a tabletop refrigerated centrifuge, a </w:t>
      </w:r>
      <w:proofErr w:type="spellStart"/>
      <w:r w:rsidRPr="000F4CC8">
        <w:rPr>
          <w:rFonts w:eastAsia="Times New Roman"/>
          <w:lang w:val="en"/>
        </w:rPr>
        <w:t>Metler</w:t>
      </w:r>
      <w:proofErr w:type="spellEnd"/>
      <w:r w:rsidRPr="000F4CC8">
        <w:rPr>
          <w:rFonts w:eastAsia="Times New Roman"/>
          <w:lang w:val="en"/>
        </w:rPr>
        <w:t xml:space="preserve"> analytical balance, an </w:t>
      </w:r>
      <w:proofErr w:type="spellStart"/>
      <w:r w:rsidRPr="000F4CC8">
        <w:rPr>
          <w:rFonts w:eastAsia="Times New Roman"/>
          <w:lang w:val="en"/>
        </w:rPr>
        <w:t>Acculab</w:t>
      </w:r>
      <w:proofErr w:type="spellEnd"/>
      <w:r w:rsidRPr="000F4CC8">
        <w:rPr>
          <w:rFonts w:eastAsia="Times New Roman"/>
          <w:lang w:val="en"/>
        </w:rPr>
        <w:t xml:space="preserve"> digital balance, 3 inverted microscopes (one with digital camera display, two </w:t>
      </w:r>
      <w:proofErr w:type="spellStart"/>
      <w:r w:rsidRPr="000F4CC8">
        <w:rPr>
          <w:rFonts w:eastAsia="Times New Roman"/>
          <w:lang w:val="en"/>
        </w:rPr>
        <w:t>BioRad</w:t>
      </w:r>
      <w:proofErr w:type="spellEnd"/>
      <w:r w:rsidRPr="000F4CC8">
        <w:rPr>
          <w:rFonts w:eastAsia="Times New Roman"/>
          <w:lang w:val="en"/>
        </w:rPr>
        <w:t xml:space="preserve"> sub-cell GT agarose gel electrophoresis platforms, a </w:t>
      </w:r>
      <w:proofErr w:type="spellStart"/>
      <w:r w:rsidRPr="000F4CC8">
        <w:rPr>
          <w:rFonts w:eastAsia="Times New Roman"/>
          <w:lang w:val="en"/>
        </w:rPr>
        <w:t>BioRad</w:t>
      </w:r>
      <w:proofErr w:type="spellEnd"/>
      <w:r w:rsidRPr="000F4CC8">
        <w:rPr>
          <w:rFonts w:eastAsia="Times New Roman"/>
          <w:lang w:val="en"/>
        </w:rPr>
        <w:t xml:space="preserve"> Protean II SDS-PAGE and western blot platform, a </w:t>
      </w:r>
      <w:proofErr w:type="spellStart"/>
      <w:r w:rsidRPr="000F4CC8">
        <w:rPr>
          <w:rFonts w:eastAsia="Times New Roman"/>
          <w:lang w:val="en"/>
        </w:rPr>
        <w:t>NanoDrop</w:t>
      </w:r>
      <w:proofErr w:type="spellEnd"/>
      <w:r w:rsidRPr="000F4CC8">
        <w:rPr>
          <w:rFonts w:eastAsia="Times New Roman"/>
          <w:lang w:val="en"/>
        </w:rPr>
        <w:t xml:space="preserve"> spectrophotometer, a microarray scanner, </w:t>
      </w:r>
      <w:proofErr w:type="spellStart"/>
      <w:r w:rsidRPr="000F4CC8">
        <w:rPr>
          <w:rFonts w:eastAsia="Times New Roman"/>
          <w:lang w:val="en"/>
        </w:rPr>
        <w:t>BioRad</w:t>
      </w:r>
      <w:proofErr w:type="spellEnd"/>
      <w:r w:rsidRPr="000F4CC8">
        <w:rPr>
          <w:rFonts w:eastAsia="Times New Roman"/>
          <w:lang w:val="en"/>
        </w:rPr>
        <w:t xml:space="preserve"> </w:t>
      </w:r>
      <w:proofErr w:type="spellStart"/>
      <w:r w:rsidRPr="000F4CC8">
        <w:rPr>
          <w:rFonts w:eastAsia="Times New Roman"/>
          <w:lang w:val="en"/>
        </w:rPr>
        <w:t>iCycler</w:t>
      </w:r>
      <w:proofErr w:type="spellEnd"/>
      <w:r w:rsidRPr="000F4CC8">
        <w:rPr>
          <w:rFonts w:eastAsia="Times New Roman"/>
          <w:lang w:val="en"/>
        </w:rPr>
        <w:t xml:space="preserve"> with iQ5 real-time PCR platform and Thermo </w:t>
      </w:r>
      <w:proofErr w:type="spellStart"/>
      <w:r w:rsidRPr="000F4CC8">
        <w:rPr>
          <w:rFonts w:eastAsia="Times New Roman"/>
          <w:lang w:val="en"/>
        </w:rPr>
        <w:t>KingFisher</w:t>
      </w:r>
      <w:proofErr w:type="spellEnd"/>
      <w:r w:rsidRPr="000F4CC8">
        <w:rPr>
          <w:rFonts w:eastAsia="Times New Roman"/>
          <w:lang w:val="en"/>
        </w:rPr>
        <w:t xml:space="preserve"> nucleic acid purification instrument. Adjacent shared equipment include a fluorescence capable </w:t>
      </w:r>
      <w:proofErr w:type="spellStart"/>
      <w:r w:rsidRPr="000F4CC8">
        <w:rPr>
          <w:rFonts w:eastAsia="Times New Roman"/>
          <w:lang w:val="en"/>
        </w:rPr>
        <w:t>microtiter</w:t>
      </w:r>
      <w:proofErr w:type="spellEnd"/>
      <w:r w:rsidRPr="000F4CC8">
        <w:rPr>
          <w:rFonts w:eastAsia="Times New Roman"/>
          <w:lang w:val="en"/>
        </w:rPr>
        <w:t xml:space="preserve"> plate reader, a </w:t>
      </w:r>
      <w:proofErr w:type="spellStart"/>
      <w:r w:rsidRPr="000F4CC8">
        <w:rPr>
          <w:rFonts w:eastAsia="Times New Roman"/>
          <w:lang w:val="en"/>
        </w:rPr>
        <w:t>BioRad</w:t>
      </w:r>
      <w:proofErr w:type="spellEnd"/>
      <w:r w:rsidRPr="000F4CC8">
        <w:rPr>
          <w:rFonts w:eastAsia="Times New Roman"/>
          <w:lang w:val="en"/>
        </w:rPr>
        <w:t xml:space="preserve"> </w:t>
      </w:r>
      <w:proofErr w:type="spellStart"/>
      <w:r w:rsidRPr="000F4CC8">
        <w:rPr>
          <w:rFonts w:eastAsia="Times New Roman"/>
          <w:lang w:val="en"/>
        </w:rPr>
        <w:t>Chemi</w:t>
      </w:r>
      <w:proofErr w:type="spellEnd"/>
      <w:r w:rsidRPr="000F4CC8">
        <w:rPr>
          <w:rFonts w:eastAsia="Times New Roman"/>
          <w:lang w:val="en"/>
        </w:rPr>
        <w:t xml:space="preserve">-Doc digital gel-documentation system, an ultracentrifuge, a lab-dishwasher, two autoclaves, a Millipore water purification system, an ice machine, a U/V fluorescent microscope, shaking incubators, a walk-in refrigerator and an AKTA-FPLC. BSL2 USDA-enhanced space consists of three procedure rooms each equipped with fully exhausting biological safety cabinets and humidified CO2 incubators with a </w:t>
      </w:r>
      <w:proofErr w:type="spellStart"/>
      <w:r w:rsidRPr="000F4CC8">
        <w:rPr>
          <w:rFonts w:eastAsia="Times New Roman"/>
          <w:lang w:val="en"/>
        </w:rPr>
        <w:t>benchtop</w:t>
      </w:r>
      <w:proofErr w:type="spellEnd"/>
      <w:r w:rsidRPr="000F4CC8">
        <w:rPr>
          <w:rFonts w:eastAsia="Times New Roman"/>
          <w:lang w:val="en"/>
        </w:rPr>
        <w:t xml:space="preserve"> refrigerated centrifuge located in the common corridor and a -80 freezer. The BSL3+ features procedure rooms equipped with fully exhausting biological safety cabinets and humidified CO2 incubators a secure -80 freezer, a refrigerated bench-top centrifuge, refrigerated micro-centrifuges and shower out capabilities. Both the BSL2 USDA enhanced and BSL3+ also feature pass-through autoclaved and decontamination chambers to facilitate the removal of large equipment from the laboratories.</w:t>
      </w:r>
    </w:p>
    <w:p w:rsidR="000F4CC8" w:rsidRPr="000F4CC8" w:rsidRDefault="000F4CC8" w:rsidP="000F4CC8">
      <w:pPr>
        <w:pStyle w:val="NormalWeb"/>
        <w:rPr>
          <w:rFonts w:eastAsia="Times New Roman"/>
          <w:lang w:val="en"/>
        </w:rPr>
      </w:pPr>
      <w:r w:rsidRPr="000F4CC8">
        <w:rPr>
          <w:rFonts w:eastAsia="Times New Roman"/>
          <w:lang w:val="en"/>
        </w:rPr>
        <w:t xml:space="preserve">The laboratory’s focus areas include adenovirus, influenza, human </w:t>
      </w:r>
      <w:proofErr w:type="spellStart"/>
      <w:r w:rsidRPr="000F4CC8">
        <w:rPr>
          <w:rFonts w:eastAsia="Times New Roman"/>
          <w:lang w:val="en"/>
        </w:rPr>
        <w:t>metapneumovirus</w:t>
      </w:r>
      <w:proofErr w:type="spellEnd"/>
      <w:r w:rsidRPr="000F4CC8">
        <w:rPr>
          <w:rFonts w:eastAsia="Times New Roman"/>
          <w:lang w:val="en"/>
        </w:rPr>
        <w:t xml:space="preserve">, avian </w:t>
      </w:r>
      <w:proofErr w:type="spellStart"/>
      <w:r w:rsidRPr="000F4CC8">
        <w:rPr>
          <w:rFonts w:eastAsia="Times New Roman"/>
          <w:lang w:val="en"/>
        </w:rPr>
        <w:t>pneumovirus</w:t>
      </w:r>
      <w:proofErr w:type="spellEnd"/>
      <w:r w:rsidRPr="000F4CC8">
        <w:rPr>
          <w:rFonts w:eastAsia="Times New Roman"/>
          <w:lang w:val="en"/>
        </w:rPr>
        <w:t xml:space="preserve">, and </w:t>
      </w:r>
      <w:proofErr w:type="spellStart"/>
      <w:r w:rsidRPr="000F4CC8">
        <w:rPr>
          <w:rFonts w:eastAsia="Times New Roman"/>
          <w:lang w:val="en"/>
        </w:rPr>
        <w:t>Brucella</w:t>
      </w:r>
      <w:proofErr w:type="spellEnd"/>
      <w:r w:rsidRPr="000F4CC8">
        <w:rPr>
          <w:rFonts w:eastAsia="Times New Roman"/>
          <w:lang w:val="en"/>
        </w:rPr>
        <w:t xml:space="preserve"> </w:t>
      </w:r>
      <w:proofErr w:type="spellStart"/>
      <w:r w:rsidRPr="000F4CC8">
        <w:rPr>
          <w:rFonts w:eastAsia="Times New Roman"/>
          <w:lang w:val="en"/>
        </w:rPr>
        <w:t>canis</w:t>
      </w:r>
      <w:proofErr w:type="spellEnd"/>
      <w:r w:rsidRPr="000F4CC8">
        <w:rPr>
          <w:rFonts w:eastAsia="Times New Roman"/>
          <w:lang w:val="en"/>
        </w:rPr>
        <w:t xml:space="preserve">, The laboratory holds permits (USDA/APHIS and CDC) to work with animal adenovirus, avian </w:t>
      </w:r>
      <w:proofErr w:type="spellStart"/>
      <w:r w:rsidRPr="000F4CC8">
        <w:rPr>
          <w:rFonts w:eastAsia="Times New Roman"/>
          <w:lang w:val="en"/>
        </w:rPr>
        <w:t>pneumovirus</w:t>
      </w:r>
      <w:proofErr w:type="spellEnd"/>
      <w:r w:rsidRPr="000F4CC8">
        <w:rPr>
          <w:rFonts w:eastAsia="Times New Roman"/>
          <w:lang w:val="en"/>
        </w:rPr>
        <w:t xml:space="preserve"> type C, Porcine Reproductive &amp; Respiratory Syndrome Virus (PRRSV), Porcine </w:t>
      </w:r>
      <w:proofErr w:type="spellStart"/>
      <w:r w:rsidRPr="000F4CC8">
        <w:rPr>
          <w:rFonts w:eastAsia="Times New Roman"/>
          <w:lang w:val="en"/>
        </w:rPr>
        <w:t>Circovirus</w:t>
      </w:r>
      <w:proofErr w:type="spellEnd"/>
      <w:r w:rsidRPr="000F4CC8">
        <w:rPr>
          <w:rFonts w:eastAsia="Times New Roman"/>
          <w:lang w:val="en"/>
        </w:rPr>
        <w:t xml:space="preserve"> type 2 (PCV2), Streptococcus </w:t>
      </w:r>
      <w:proofErr w:type="spellStart"/>
      <w:r w:rsidRPr="000F4CC8">
        <w:rPr>
          <w:rFonts w:eastAsia="Times New Roman"/>
          <w:lang w:val="en"/>
        </w:rPr>
        <w:t>suis</w:t>
      </w:r>
      <w:proofErr w:type="spellEnd"/>
      <w:r w:rsidRPr="000F4CC8">
        <w:rPr>
          <w:rFonts w:eastAsia="Times New Roman"/>
          <w:lang w:val="en"/>
        </w:rPr>
        <w:t xml:space="preserve">, Streptococcus </w:t>
      </w:r>
      <w:proofErr w:type="spellStart"/>
      <w:r w:rsidRPr="000F4CC8">
        <w:rPr>
          <w:rFonts w:eastAsia="Times New Roman"/>
          <w:lang w:val="en"/>
        </w:rPr>
        <w:t>agalactiae</w:t>
      </w:r>
      <w:proofErr w:type="spellEnd"/>
      <w:r w:rsidRPr="000F4CC8">
        <w:rPr>
          <w:rFonts w:eastAsia="Times New Roman"/>
          <w:lang w:val="en"/>
        </w:rPr>
        <w:t xml:space="preserve">, Streptococcus </w:t>
      </w:r>
      <w:proofErr w:type="spellStart"/>
      <w:r w:rsidRPr="000F4CC8">
        <w:rPr>
          <w:rFonts w:eastAsia="Times New Roman"/>
          <w:lang w:val="en"/>
        </w:rPr>
        <w:t>pyogenes</w:t>
      </w:r>
      <w:proofErr w:type="spellEnd"/>
      <w:r w:rsidRPr="000F4CC8">
        <w:rPr>
          <w:rFonts w:eastAsia="Times New Roman"/>
          <w:lang w:val="en"/>
        </w:rPr>
        <w:t xml:space="preserve">, and all influenza viruses, including highly pathogenic avian influenza viruses. Unique laboratory capabilities include: adenovirus culture, identification, serotyping, and genotyping; human </w:t>
      </w:r>
      <w:proofErr w:type="spellStart"/>
      <w:r w:rsidRPr="000F4CC8">
        <w:rPr>
          <w:rFonts w:eastAsia="Times New Roman"/>
          <w:lang w:val="en"/>
        </w:rPr>
        <w:t>metapneumovirus</w:t>
      </w:r>
      <w:proofErr w:type="spellEnd"/>
      <w:r w:rsidRPr="000F4CC8">
        <w:rPr>
          <w:rFonts w:eastAsia="Times New Roman"/>
          <w:lang w:val="en"/>
        </w:rPr>
        <w:t xml:space="preserve"> culture, identification, and genotyping; zoonotic influenza culture (</w:t>
      </w:r>
      <w:proofErr w:type="spellStart"/>
      <w:r w:rsidRPr="000F4CC8">
        <w:rPr>
          <w:rFonts w:eastAsia="Times New Roman"/>
          <w:lang w:val="en"/>
        </w:rPr>
        <w:t>embronated</w:t>
      </w:r>
      <w:proofErr w:type="spellEnd"/>
      <w:r w:rsidRPr="000F4CC8">
        <w:rPr>
          <w:rFonts w:eastAsia="Times New Roman"/>
          <w:lang w:val="en"/>
        </w:rPr>
        <w:t xml:space="preserve"> eggs or MDCK tissue culture), identification, serotyping, and genotyping.</w:t>
      </w:r>
    </w:p>
    <w:p w:rsidR="0092311A" w:rsidRPr="00ED4D51" w:rsidRDefault="0092311A" w:rsidP="002A5B87">
      <w:pPr>
        <w:pStyle w:val="NormalWeb"/>
        <w:rPr>
          <w:rFonts w:eastAsia="Times New Roman"/>
        </w:rPr>
      </w:pPr>
    </w:p>
    <w:sectPr w:rsidR="0092311A" w:rsidRPr="00ED4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F4CC8"/>
    <w:rsid w:val="0014086A"/>
    <w:rsid w:val="001C0FFE"/>
    <w:rsid w:val="00211ECE"/>
    <w:rsid w:val="00216EDF"/>
    <w:rsid w:val="002A5B87"/>
    <w:rsid w:val="002E55CA"/>
    <w:rsid w:val="00325E40"/>
    <w:rsid w:val="00465892"/>
    <w:rsid w:val="00520B33"/>
    <w:rsid w:val="005D227F"/>
    <w:rsid w:val="00612BA4"/>
    <w:rsid w:val="00690213"/>
    <w:rsid w:val="006C1DD2"/>
    <w:rsid w:val="00730B57"/>
    <w:rsid w:val="008E1D81"/>
    <w:rsid w:val="0092311A"/>
    <w:rsid w:val="00955CF9"/>
    <w:rsid w:val="00C167DA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3210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2014-02-18T21:51:00Z</dcterms:created>
  <dcterms:modified xsi:type="dcterms:W3CDTF">2014-02-18T21:51:00Z</dcterms:modified>
</cp:coreProperties>
</file>