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6B" w:rsidRPr="00280C1A" w:rsidRDefault="008C2F6B" w:rsidP="0003058F">
      <w:pPr>
        <w:pStyle w:val="DataField11pt-Single"/>
        <w:widowControl w:val="0"/>
        <w:ind w:firstLine="432"/>
        <w:jc w:val="both"/>
        <w:rPr>
          <w:b/>
          <w:szCs w:val="22"/>
        </w:rPr>
      </w:pPr>
      <w:r w:rsidRPr="00280C1A">
        <w:rPr>
          <w:b/>
          <w:szCs w:val="22"/>
        </w:rPr>
        <w:t>5. PLAN FOR INSTRUCTION IN THE RESPONSIBLE COND</w:t>
      </w:r>
      <w:bookmarkStart w:id="0" w:name="_GoBack"/>
      <w:bookmarkEnd w:id="0"/>
      <w:r w:rsidRPr="00280C1A">
        <w:rPr>
          <w:b/>
          <w:szCs w:val="22"/>
        </w:rPr>
        <w:t>UCT OF RESEARCH</w:t>
      </w:r>
    </w:p>
    <w:p w:rsidR="008C2F6B" w:rsidRPr="00280C1A" w:rsidRDefault="008C2F6B" w:rsidP="0003058F">
      <w:pPr>
        <w:ind w:firstLine="432"/>
        <w:jc w:val="both"/>
        <w:rPr>
          <w:rFonts w:ascii="Arial" w:hAnsi="Arial" w:cs="Arial"/>
          <w:sz w:val="22"/>
          <w:szCs w:val="22"/>
        </w:rPr>
      </w:pPr>
      <w:r w:rsidRPr="00280C1A">
        <w:rPr>
          <w:rFonts w:ascii="Arial" w:hAnsi="Arial" w:cs="Arial"/>
          <w:sz w:val="22"/>
          <w:szCs w:val="22"/>
        </w:rPr>
        <w:t xml:space="preserve">Informal and formal training are </w:t>
      </w:r>
      <w:r w:rsidR="008D4D7C">
        <w:rPr>
          <w:rFonts w:ascii="Arial" w:hAnsi="Arial" w:cs="Arial"/>
          <w:sz w:val="22"/>
          <w:szCs w:val="22"/>
        </w:rPr>
        <w:t>necessary for effective education</w:t>
      </w:r>
      <w:r w:rsidRPr="00280C1A">
        <w:rPr>
          <w:rFonts w:ascii="Arial" w:hAnsi="Arial" w:cs="Arial"/>
          <w:sz w:val="22"/>
          <w:szCs w:val="22"/>
        </w:rPr>
        <w:t xml:space="preserve"> in the responsible conduct of research</w:t>
      </w:r>
      <w:r w:rsidR="00EA0462">
        <w:rPr>
          <w:rFonts w:ascii="Arial" w:hAnsi="Arial" w:cs="Arial"/>
          <w:sz w:val="22"/>
          <w:szCs w:val="22"/>
        </w:rPr>
        <w:t xml:space="preserve"> (RCR)</w:t>
      </w:r>
      <w:r w:rsidRPr="00280C1A">
        <w:rPr>
          <w:rFonts w:ascii="Arial" w:hAnsi="Arial" w:cs="Arial"/>
          <w:sz w:val="22"/>
          <w:szCs w:val="22"/>
        </w:rPr>
        <w:t xml:space="preserve">. One of most effective ways of accomplishing this training is through the example set </w:t>
      </w:r>
      <w:r w:rsidR="008D4D7C">
        <w:rPr>
          <w:rFonts w:ascii="Arial" w:hAnsi="Arial" w:cs="Arial"/>
          <w:sz w:val="22"/>
          <w:szCs w:val="22"/>
        </w:rPr>
        <w:t>by a Trainee’s M</w:t>
      </w:r>
      <w:r w:rsidRPr="00280C1A">
        <w:rPr>
          <w:rFonts w:ascii="Arial" w:hAnsi="Arial" w:cs="Arial"/>
          <w:sz w:val="22"/>
          <w:szCs w:val="22"/>
        </w:rPr>
        <w:t>entor</w:t>
      </w:r>
      <w:r w:rsidR="008D4D7C">
        <w:rPr>
          <w:rFonts w:ascii="Arial" w:hAnsi="Arial" w:cs="Arial"/>
          <w:sz w:val="22"/>
          <w:szCs w:val="22"/>
        </w:rPr>
        <w:t xml:space="preserve"> and/or Co-Mentor</w:t>
      </w:r>
      <w:r w:rsidRPr="00280C1A">
        <w:rPr>
          <w:rFonts w:ascii="Arial" w:hAnsi="Arial" w:cs="Arial"/>
          <w:sz w:val="22"/>
          <w:szCs w:val="22"/>
        </w:rPr>
        <w:t xml:space="preserve"> and vi</w:t>
      </w:r>
      <w:r w:rsidR="008D4D7C">
        <w:rPr>
          <w:rFonts w:ascii="Arial" w:hAnsi="Arial" w:cs="Arial"/>
          <w:sz w:val="22"/>
          <w:szCs w:val="22"/>
        </w:rPr>
        <w:t>a a close relationship between Trainee and M</w:t>
      </w:r>
      <w:r w:rsidRPr="00280C1A">
        <w:rPr>
          <w:rFonts w:ascii="Arial" w:hAnsi="Arial" w:cs="Arial"/>
          <w:sz w:val="22"/>
          <w:szCs w:val="22"/>
        </w:rPr>
        <w:t>entor</w:t>
      </w:r>
      <w:r w:rsidR="00E8484C">
        <w:rPr>
          <w:rFonts w:ascii="Arial" w:hAnsi="Arial" w:cs="Arial"/>
          <w:sz w:val="22"/>
          <w:szCs w:val="22"/>
        </w:rPr>
        <w:t>s</w:t>
      </w:r>
      <w:r w:rsidRPr="00280C1A">
        <w:rPr>
          <w:rFonts w:ascii="Arial" w:hAnsi="Arial" w:cs="Arial"/>
          <w:sz w:val="22"/>
          <w:szCs w:val="22"/>
        </w:rPr>
        <w:t>. Therefore, in addition to formal training, there will be frequent one-</w:t>
      </w:r>
      <w:r w:rsidR="008D4D7C">
        <w:rPr>
          <w:rFonts w:ascii="Arial" w:hAnsi="Arial" w:cs="Arial"/>
          <w:sz w:val="22"/>
          <w:szCs w:val="22"/>
        </w:rPr>
        <w:t>on-one discussions between the Mentor</w:t>
      </w:r>
      <w:r w:rsidR="00E8484C">
        <w:rPr>
          <w:rFonts w:ascii="Arial" w:hAnsi="Arial" w:cs="Arial"/>
          <w:sz w:val="22"/>
          <w:szCs w:val="22"/>
        </w:rPr>
        <w:t>s</w:t>
      </w:r>
      <w:r w:rsidR="008D4D7C">
        <w:rPr>
          <w:rFonts w:ascii="Arial" w:hAnsi="Arial" w:cs="Arial"/>
          <w:sz w:val="22"/>
          <w:szCs w:val="22"/>
        </w:rPr>
        <w:t xml:space="preserve"> and T</w:t>
      </w:r>
      <w:r w:rsidRPr="00280C1A">
        <w:rPr>
          <w:rFonts w:ascii="Arial" w:hAnsi="Arial" w:cs="Arial"/>
          <w:sz w:val="22"/>
          <w:szCs w:val="22"/>
        </w:rPr>
        <w:t xml:space="preserve">rainee dealing with issues such as conflict of interest, data recording and retention, authorship, professional standards, and </w:t>
      </w:r>
      <w:r w:rsidR="008D4D7C">
        <w:rPr>
          <w:rFonts w:ascii="Arial" w:hAnsi="Arial" w:cs="Arial"/>
          <w:sz w:val="22"/>
          <w:szCs w:val="22"/>
        </w:rPr>
        <w:t xml:space="preserve">codes of conduct. </w:t>
      </w:r>
      <w:r w:rsidR="00EA0462">
        <w:rPr>
          <w:rFonts w:ascii="Arial" w:hAnsi="Arial" w:cs="Arial"/>
          <w:sz w:val="22"/>
          <w:szCs w:val="22"/>
        </w:rPr>
        <w:t xml:space="preserve">Formal training will include the required </w:t>
      </w:r>
      <w:r w:rsidR="008D4D7C">
        <w:rPr>
          <w:rFonts w:ascii="Arial" w:hAnsi="Arial" w:cs="Arial"/>
          <w:sz w:val="22"/>
          <w:szCs w:val="22"/>
        </w:rPr>
        <w:t xml:space="preserve">graduate course </w:t>
      </w:r>
      <w:r w:rsidR="00EA0462">
        <w:rPr>
          <w:rFonts w:ascii="Arial" w:hAnsi="Arial" w:cs="Arial"/>
          <w:sz w:val="22"/>
          <w:szCs w:val="22"/>
        </w:rPr>
        <w:t>“</w:t>
      </w:r>
      <w:r w:rsidRPr="000D41B8">
        <w:rPr>
          <w:rFonts w:ascii="Arial" w:hAnsi="Arial" w:cs="Arial"/>
          <w:iCs/>
          <w:sz w:val="22"/>
          <w:szCs w:val="22"/>
        </w:rPr>
        <w:t>Responsible Conduct of Biomedical Research</w:t>
      </w:r>
      <w:r w:rsidR="00EA0462">
        <w:rPr>
          <w:rFonts w:ascii="Arial" w:hAnsi="Arial" w:cs="Arial"/>
          <w:iCs/>
          <w:sz w:val="22"/>
          <w:szCs w:val="22"/>
        </w:rPr>
        <w:t>”</w:t>
      </w:r>
      <w:r w:rsidRPr="000D41B8">
        <w:rPr>
          <w:rFonts w:ascii="Arial" w:hAnsi="Arial" w:cs="Arial"/>
          <w:sz w:val="22"/>
          <w:szCs w:val="22"/>
        </w:rPr>
        <w:t xml:space="preserve"> (GMS 7003)</w:t>
      </w:r>
      <w:r w:rsidRPr="00280C1A">
        <w:rPr>
          <w:rFonts w:ascii="Arial" w:hAnsi="Arial" w:cs="Arial"/>
          <w:sz w:val="22"/>
          <w:szCs w:val="22"/>
        </w:rPr>
        <w:t>. This cour</w:t>
      </w:r>
      <w:r w:rsidR="008D4D7C">
        <w:rPr>
          <w:rFonts w:ascii="Arial" w:hAnsi="Arial" w:cs="Arial"/>
          <w:sz w:val="22"/>
          <w:szCs w:val="22"/>
        </w:rPr>
        <w:t>se</w:t>
      </w:r>
      <w:r w:rsidRPr="00280C1A">
        <w:rPr>
          <w:rFonts w:ascii="Arial" w:hAnsi="Arial" w:cs="Arial"/>
          <w:sz w:val="22"/>
          <w:szCs w:val="22"/>
        </w:rPr>
        <w:t xml:space="preserve"> is offered each spring semester and all </w:t>
      </w:r>
      <w:r w:rsidR="00EA0462">
        <w:rPr>
          <w:rFonts w:ascii="Arial" w:hAnsi="Arial" w:cs="Arial"/>
          <w:sz w:val="22"/>
          <w:szCs w:val="22"/>
        </w:rPr>
        <w:t>first-</w:t>
      </w:r>
      <w:r w:rsidR="000D41B8">
        <w:rPr>
          <w:rFonts w:ascii="Arial" w:hAnsi="Arial" w:cs="Arial"/>
          <w:sz w:val="22"/>
          <w:szCs w:val="22"/>
        </w:rPr>
        <w:t xml:space="preserve">year </w:t>
      </w:r>
      <w:r w:rsidR="008D4D7C">
        <w:rPr>
          <w:rFonts w:ascii="Arial" w:hAnsi="Arial" w:cs="Arial"/>
          <w:sz w:val="22"/>
          <w:szCs w:val="22"/>
        </w:rPr>
        <w:t>Pre-</w:t>
      </w:r>
      <w:r w:rsidRPr="00280C1A">
        <w:rPr>
          <w:rFonts w:ascii="Arial" w:hAnsi="Arial" w:cs="Arial"/>
          <w:sz w:val="22"/>
          <w:szCs w:val="22"/>
        </w:rPr>
        <w:t xml:space="preserve"> </w:t>
      </w:r>
      <w:r w:rsidR="000D41B8">
        <w:rPr>
          <w:rFonts w:ascii="Arial" w:hAnsi="Arial" w:cs="Arial"/>
          <w:sz w:val="22"/>
          <w:szCs w:val="22"/>
        </w:rPr>
        <w:t xml:space="preserve">and </w:t>
      </w:r>
      <w:r w:rsidR="008D4D7C">
        <w:rPr>
          <w:rFonts w:ascii="Arial" w:hAnsi="Arial" w:cs="Arial"/>
          <w:sz w:val="22"/>
          <w:szCs w:val="22"/>
        </w:rPr>
        <w:t>Post</w:t>
      </w:r>
      <w:r w:rsidR="000D41B8">
        <w:rPr>
          <w:rFonts w:ascii="Arial" w:hAnsi="Arial" w:cs="Arial"/>
          <w:sz w:val="22"/>
          <w:szCs w:val="22"/>
        </w:rPr>
        <w:t xml:space="preserve">doctoral </w:t>
      </w:r>
      <w:r w:rsidR="008D4D7C">
        <w:rPr>
          <w:rFonts w:ascii="Arial" w:hAnsi="Arial" w:cs="Arial"/>
          <w:sz w:val="22"/>
          <w:szCs w:val="22"/>
        </w:rPr>
        <w:t>T</w:t>
      </w:r>
      <w:r w:rsidR="000D41B8" w:rsidRPr="00280C1A">
        <w:rPr>
          <w:rFonts w:ascii="Arial" w:hAnsi="Arial" w:cs="Arial"/>
          <w:sz w:val="22"/>
          <w:szCs w:val="22"/>
        </w:rPr>
        <w:t xml:space="preserve">rainees </w:t>
      </w:r>
      <w:r w:rsidRPr="00280C1A">
        <w:rPr>
          <w:rFonts w:ascii="Arial" w:hAnsi="Arial" w:cs="Arial"/>
          <w:sz w:val="22"/>
          <w:szCs w:val="22"/>
        </w:rPr>
        <w:t>take the course. The course provide</w:t>
      </w:r>
      <w:r w:rsidR="000D41B8">
        <w:rPr>
          <w:rFonts w:ascii="Arial" w:hAnsi="Arial" w:cs="Arial"/>
          <w:sz w:val="22"/>
          <w:szCs w:val="22"/>
        </w:rPr>
        <w:t>s</w:t>
      </w:r>
      <w:r w:rsidRPr="00280C1A">
        <w:rPr>
          <w:rFonts w:ascii="Arial" w:hAnsi="Arial" w:cs="Arial"/>
          <w:sz w:val="22"/>
          <w:szCs w:val="22"/>
        </w:rPr>
        <w:t xml:space="preserve"> a practical overview of the rules, regulations, and professional practices that define the responsible conduct of research. The coverage is not exhaustive and leaves room for continued reading and discussion with the student's mentor, in the laboratory and classroom, at professional meetings, and in any setting where researchers gather to discuss their work. </w:t>
      </w:r>
    </w:p>
    <w:p w:rsidR="008C2F6B" w:rsidRPr="00280C1A" w:rsidRDefault="008C2F6B" w:rsidP="0003058F">
      <w:pPr>
        <w:ind w:firstLine="432"/>
        <w:jc w:val="both"/>
        <w:rPr>
          <w:rFonts w:ascii="Arial" w:hAnsi="Arial" w:cs="Arial"/>
          <w:sz w:val="22"/>
          <w:szCs w:val="22"/>
        </w:rPr>
      </w:pPr>
      <w:r w:rsidRPr="00280C1A">
        <w:rPr>
          <w:rFonts w:ascii="Arial" w:hAnsi="Arial" w:cs="Arial"/>
          <w:sz w:val="22"/>
          <w:szCs w:val="22"/>
        </w:rPr>
        <w:t xml:space="preserve">The course meets weekly for </w:t>
      </w:r>
      <w:r w:rsidR="00EA0462">
        <w:rPr>
          <w:rFonts w:ascii="Arial" w:hAnsi="Arial" w:cs="Arial"/>
          <w:sz w:val="22"/>
          <w:szCs w:val="22"/>
        </w:rPr>
        <w:t xml:space="preserve">12 </w:t>
      </w:r>
      <w:r w:rsidRPr="00280C1A">
        <w:rPr>
          <w:rFonts w:ascii="Arial" w:hAnsi="Arial" w:cs="Arial"/>
          <w:sz w:val="22"/>
          <w:szCs w:val="22"/>
        </w:rPr>
        <w:t>weeks</w:t>
      </w:r>
      <w:r w:rsidR="00EA0462">
        <w:rPr>
          <w:rFonts w:ascii="Arial" w:hAnsi="Arial" w:cs="Arial"/>
          <w:sz w:val="22"/>
          <w:szCs w:val="22"/>
        </w:rPr>
        <w:t xml:space="preserve"> (</w:t>
      </w:r>
      <w:r w:rsidR="00C40376">
        <w:rPr>
          <w:rFonts w:ascii="Arial" w:hAnsi="Arial" w:cs="Arial"/>
          <w:sz w:val="22"/>
          <w:szCs w:val="22"/>
        </w:rPr>
        <w:t>22</w:t>
      </w:r>
      <w:r w:rsidRPr="00280C1A">
        <w:rPr>
          <w:rFonts w:ascii="Arial" w:hAnsi="Arial" w:cs="Arial"/>
          <w:sz w:val="22"/>
          <w:szCs w:val="22"/>
        </w:rPr>
        <w:t xml:space="preserve"> contact hours</w:t>
      </w:r>
      <w:r w:rsidR="00EA0462">
        <w:rPr>
          <w:rFonts w:ascii="Arial" w:hAnsi="Arial" w:cs="Arial"/>
          <w:sz w:val="22"/>
          <w:szCs w:val="22"/>
        </w:rPr>
        <w:t xml:space="preserve"> total)</w:t>
      </w:r>
      <w:r w:rsidRPr="00280C1A">
        <w:rPr>
          <w:rFonts w:ascii="Arial" w:hAnsi="Arial" w:cs="Arial"/>
          <w:sz w:val="22"/>
          <w:szCs w:val="22"/>
        </w:rPr>
        <w:t xml:space="preserve">. </w:t>
      </w:r>
      <w:r w:rsidR="00E8484C">
        <w:rPr>
          <w:rFonts w:ascii="Arial" w:hAnsi="Arial" w:cs="Arial"/>
          <w:sz w:val="22"/>
          <w:szCs w:val="22"/>
        </w:rPr>
        <w:t xml:space="preserve">Sessions 1 </w:t>
      </w:r>
      <w:r w:rsidR="00EA0462">
        <w:rPr>
          <w:rFonts w:ascii="Arial" w:hAnsi="Arial" w:cs="Arial"/>
          <w:sz w:val="22"/>
          <w:szCs w:val="22"/>
        </w:rPr>
        <w:t xml:space="preserve">&amp; </w:t>
      </w:r>
      <w:r w:rsidR="00E8484C">
        <w:rPr>
          <w:rFonts w:ascii="Arial" w:hAnsi="Arial" w:cs="Arial"/>
          <w:sz w:val="22"/>
          <w:szCs w:val="22"/>
        </w:rPr>
        <w:t>12 are 1-hour sessions during which learners take a pre-test and post-test</w:t>
      </w:r>
      <w:r w:rsidR="00EA0462">
        <w:rPr>
          <w:rFonts w:ascii="Arial" w:hAnsi="Arial" w:cs="Arial"/>
          <w:sz w:val="22"/>
          <w:szCs w:val="22"/>
        </w:rPr>
        <w:t xml:space="preserve"> of</w:t>
      </w:r>
      <w:r w:rsidR="00E8484C">
        <w:rPr>
          <w:rFonts w:ascii="Arial" w:hAnsi="Arial" w:cs="Arial"/>
          <w:sz w:val="22"/>
          <w:szCs w:val="22"/>
        </w:rPr>
        <w:t xml:space="preserve"> ethical decision-making before and after the RCR training experience. All other sessions are 2 hours each. Session 2 is an introductory lecture/discussion about why we do RCR training, an overview of the ethical decision-making framework used </w:t>
      </w:r>
      <w:r w:rsidR="00EA0462">
        <w:rPr>
          <w:rFonts w:ascii="Arial" w:hAnsi="Arial" w:cs="Arial"/>
          <w:sz w:val="22"/>
          <w:szCs w:val="22"/>
        </w:rPr>
        <w:t xml:space="preserve">in </w:t>
      </w:r>
      <w:r w:rsidR="00E8484C">
        <w:rPr>
          <w:rFonts w:ascii="Arial" w:hAnsi="Arial" w:cs="Arial"/>
          <w:sz w:val="22"/>
          <w:szCs w:val="22"/>
        </w:rPr>
        <w:t xml:space="preserve">the course, and </w:t>
      </w:r>
      <w:r w:rsidR="00EA0462">
        <w:rPr>
          <w:rFonts w:ascii="Arial" w:hAnsi="Arial" w:cs="Arial"/>
          <w:sz w:val="22"/>
          <w:szCs w:val="22"/>
        </w:rPr>
        <w:t>an introduction to team</w:t>
      </w:r>
      <w:r w:rsidR="00E8484C">
        <w:rPr>
          <w:rFonts w:ascii="Arial" w:hAnsi="Arial" w:cs="Arial"/>
          <w:sz w:val="22"/>
          <w:szCs w:val="22"/>
        </w:rPr>
        <w:t xml:space="preserve">-based learning (TBL). Sessions 3-11 </w:t>
      </w:r>
      <w:r w:rsidRPr="00280C1A">
        <w:rPr>
          <w:rFonts w:ascii="Arial" w:hAnsi="Arial" w:cs="Arial"/>
          <w:sz w:val="22"/>
          <w:szCs w:val="22"/>
        </w:rPr>
        <w:t xml:space="preserve">are conducted using </w:t>
      </w:r>
      <w:r w:rsidR="00E8484C">
        <w:rPr>
          <w:rFonts w:ascii="Arial" w:hAnsi="Arial" w:cs="Arial"/>
          <w:sz w:val="22"/>
          <w:szCs w:val="22"/>
        </w:rPr>
        <w:t xml:space="preserve">TBL, </w:t>
      </w:r>
      <w:r w:rsidRPr="00280C1A">
        <w:rPr>
          <w:rFonts w:ascii="Arial" w:hAnsi="Arial" w:cs="Arial"/>
          <w:sz w:val="22"/>
          <w:szCs w:val="22"/>
        </w:rPr>
        <w:t xml:space="preserve">a </w:t>
      </w:r>
      <w:r w:rsidR="00E8484C">
        <w:rPr>
          <w:rFonts w:ascii="Arial" w:hAnsi="Arial" w:cs="Arial"/>
          <w:sz w:val="22"/>
          <w:szCs w:val="22"/>
        </w:rPr>
        <w:t xml:space="preserve">student-centered </w:t>
      </w:r>
      <w:r w:rsidRPr="00280C1A">
        <w:rPr>
          <w:rFonts w:ascii="Arial" w:hAnsi="Arial" w:cs="Arial"/>
          <w:sz w:val="22"/>
          <w:szCs w:val="22"/>
        </w:rPr>
        <w:t xml:space="preserve">small group teaching method that dramatically shifts the focus of classroom time from conveying course concepts by </w:t>
      </w:r>
      <w:r w:rsidR="00EA0462">
        <w:rPr>
          <w:rFonts w:ascii="Arial" w:hAnsi="Arial" w:cs="Arial"/>
          <w:sz w:val="22"/>
          <w:szCs w:val="22"/>
        </w:rPr>
        <w:t xml:space="preserve">lecture </w:t>
      </w:r>
      <w:r w:rsidRPr="00280C1A">
        <w:rPr>
          <w:rFonts w:ascii="Arial" w:hAnsi="Arial" w:cs="Arial"/>
          <w:sz w:val="22"/>
          <w:szCs w:val="22"/>
        </w:rPr>
        <w:t>to application of course concepts by student teams</w:t>
      </w:r>
      <w:r w:rsidR="00E8484C">
        <w:rPr>
          <w:rFonts w:ascii="Arial" w:hAnsi="Arial" w:cs="Arial"/>
          <w:sz w:val="22"/>
          <w:szCs w:val="22"/>
        </w:rPr>
        <w:t xml:space="preserve"> through problem-solving and decision-making</w:t>
      </w:r>
      <w:r w:rsidRPr="00280C1A">
        <w:rPr>
          <w:rFonts w:ascii="Arial" w:hAnsi="Arial" w:cs="Arial"/>
          <w:sz w:val="22"/>
          <w:szCs w:val="22"/>
        </w:rPr>
        <w:t xml:space="preserve">. The </w:t>
      </w:r>
      <w:r w:rsidR="00C40376">
        <w:rPr>
          <w:rFonts w:ascii="Arial" w:hAnsi="Arial" w:cs="Arial"/>
          <w:sz w:val="22"/>
          <w:szCs w:val="22"/>
        </w:rPr>
        <w:t>nine</w:t>
      </w:r>
      <w:r w:rsidRPr="00280C1A">
        <w:rPr>
          <w:rFonts w:ascii="Arial" w:hAnsi="Arial" w:cs="Arial"/>
          <w:sz w:val="22"/>
          <w:szCs w:val="22"/>
        </w:rPr>
        <w:t xml:space="preserve"> </w:t>
      </w:r>
      <w:r w:rsidR="000E572E">
        <w:rPr>
          <w:rFonts w:ascii="Arial" w:hAnsi="Arial" w:cs="Arial"/>
          <w:sz w:val="22"/>
          <w:szCs w:val="22"/>
        </w:rPr>
        <w:t xml:space="preserve">TBL </w:t>
      </w:r>
      <w:r w:rsidRPr="00280C1A">
        <w:rPr>
          <w:rFonts w:ascii="Arial" w:hAnsi="Arial" w:cs="Arial"/>
          <w:sz w:val="22"/>
          <w:szCs w:val="22"/>
        </w:rPr>
        <w:t>sessions focus on the following subjects: Research Misconduct; Welfare of Laboratory Animals; Protection of Human Subjects;</w:t>
      </w:r>
      <w:r w:rsidR="00C40376">
        <w:rPr>
          <w:rFonts w:ascii="Arial" w:hAnsi="Arial" w:cs="Arial"/>
          <w:sz w:val="22"/>
          <w:szCs w:val="22"/>
        </w:rPr>
        <w:t xml:space="preserve"> </w:t>
      </w:r>
      <w:r w:rsidR="00C40376" w:rsidRPr="00280C1A">
        <w:rPr>
          <w:rFonts w:ascii="Arial" w:hAnsi="Arial" w:cs="Arial"/>
          <w:sz w:val="22"/>
          <w:szCs w:val="22"/>
        </w:rPr>
        <w:t>Data Management Practices;</w:t>
      </w:r>
      <w:r w:rsidR="00C40376">
        <w:rPr>
          <w:rFonts w:ascii="Arial" w:hAnsi="Arial" w:cs="Arial"/>
          <w:sz w:val="22"/>
          <w:szCs w:val="22"/>
        </w:rPr>
        <w:t xml:space="preserve"> </w:t>
      </w:r>
      <w:r w:rsidR="00C40376" w:rsidRPr="00280C1A">
        <w:rPr>
          <w:rFonts w:ascii="Arial" w:hAnsi="Arial" w:cs="Arial"/>
          <w:sz w:val="22"/>
          <w:szCs w:val="22"/>
        </w:rPr>
        <w:t>Conflicts of Interest;</w:t>
      </w:r>
      <w:r w:rsidRPr="00280C1A">
        <w:rPr>
          <w:rFonts w:ascii="Arial" w:hAnsi="Arial" w:cs="Arial"/>
          <w:sz w:val="22"/>
          <w:szCs w:val="22"/>
        </w:rPr>
        <w:t xml:space="preserve"> Mentor &amp; Trainee Responsibilities; Collaborative Research; Authorship; and Peer Review. The course is letter-graded, based on individual and team readiness assurance test scores. </w:t>
      </w:r>
      <w:r w:rsidR="000E572E">
        <w:rPr>
          <w:rFonts w:ascii="Arial" w:hAnsi="Arial" w:cs="Arial"/>
          <w:sz w:val="22"/>
          <w:szCs w:val="22"/>
        </w:rPr>
        <w:t xml:space="preserve">Learning resources include </w:t>
      </w:r>
      <w:r w:rsidR="00653B35">
        <w:rPr>
          <w:rFonts w:ascii="Arial" w:hAnsi="Arial" w:cs="Arial"/>
          <w:sz w:val="22"/>
          <w:szCs w:val="22"/>
        </w:rPr>
        <w:t>nine</w:t>
      </w:r>
      <w:r w:rsidRPr="00280C1A">
        <w:rPr>
          <w:rFonts w:ascii="Arial" w:hAnsi="Arial" w:cs="Arial"/>
          <w:sz w:val="22"/>
          <w:szCs w:val="22"/>
        </w:rPr>
        <w:t xml:space="preserve"> locally produced, </w:t>
      </w:r>
      <w:r w:rsidR="000E572E">
        <w:rPr>
          <w:rFonts w:ascii="Arial" w:hAnsi="Arial" w:cs="Arial"/>
          <w:sz w:val="22"/>
          <w:szCs w:val="22"/>
        </w:rPr>
        <w:t xml:space="preserve">20-50 minute </w:t>
      </w:r>
      <w:r w:rsidRPr="00280C1A">
        <w:rPr>
          <w:rFonts w:ascii="Arial" w:hAnsi="Arial" w:cs="Arial"/>
          <w:sz w:val="22"/>
          <w:szCs w:val="22"/>
        </w:rPr>
        <w:t xml:space="preserve">online lectures </w:t>
      </w:r>
      <w:r w:rsidR="00653B35">
        <w:rPr>
          <w:rFonts w:ascii="Arial" w:hAnsi="Arial" w:cs="Arial"/>
          <w:sz w:val="22"/>
          <w:szCs w:val="22"/>
        </w:rPr>
        <w:t>(</w:t>
      </w:r>
      <w:r w:rsidRPr="00280C1A">
        <w:rPr>
          <w:rFonts w:ascii="Arial" w:hAnsi="Arial" w:cs="Arial"/>
          <w:sz w:val="22"/>
          <w:szCs w:val="22"/>
        </w:rPr>
        <w:t>History of Research Ethics; IACUC &amp; Animal Research; Protection of Human Subjects; Mentor &amp; Trainee Responsibilities and Collaborative Research; Conflicts of Interest</w:t>
      </w:r>
      <w:r w:rsidR="00E8484C">
        <w:rPr>
          <w:rFonts w:ascii="Arial" w:hAnsi="Arial" w:cs="Arial"/>
          <w:sz w:val="22"/>
          <w:szCs w:val="22"/>
        </w:rPr>
        <w:t>; Intellectual Property; Data Management Practices; Ownership of Biological Materials;</w:t>
      </w:r>
      <w:r w:rsidRPr="00280C1A">
        <w:rPr>
          <w:rFonts w:ascii="Arial" w:hAnsi="Arial" w:cs="Arial"/>
          <w:sz w:val="22"/>
          <w:szCs w:val="22"/>
        </w:rPr>
        <w:t xml:space="preserve"> and Authorship &amp; Publication and Peer Review</w:t>
      </w:r>
      <w:r w:rsidR="000E572E">
        <w:rPr>
          <w:rFonts w:ascii="Arial" w:hAnsi="Arial" w:cs="Arial"/>
          <w:sz w:val="22"/>
          <w:szCs w:val="22"/>
        </w:rPr>
        <w:t xml:space="preserve">), and the online </w:t>
      </w:r>
      <w:r w:rsidRPr="00280C1A">
        <w:rPr>
          <w:rFonts w:ascii="Arial" w:hAnsi="Arial" w:cs="Arial"/>
          <w:sz w:val="22"/>
          <w:szCs w:val="22"/>
        </w:rPr>
        <w:t xml:space="preserve">textbook </w:t>
      </w:r>
      <w:r w:rsidR="00EA0462">
        <w:rPr>
          <w:rFonts w:ascii="Arial" w:hAnsi="Arial" w:cs="Arial"/>
          <w:sz w:val="22"/>
          <w:szCs w:val="22"/>
        </w:rPr>
        <w:t>“</w:t>
      </w:r>
      <w:r w:rsidRPr="00280C1A">
        <w:rPr>
          <w:rFonts w:ascii="Arial" w:hAnsi="Arial" w:cs="Arial"/>
          <w:sz w:val="22"/>
          <w:szCs w:val="22"/>
        </w:rPr>
        <w:t>ORI Introduction to the Responsible Conduct of Research</w:t>
      </w:r>
      <w:r w:rsidR="00EA0462">
        <w:rPr>
          <w:rFonts w:ascii="Arial" w:hAnsi="Arial" w:cs="Arial"/>
          <w:sz w:val="22"/>
          <w:szCs w:val="22"/>
        </w:rPr>
        <w:t>”</w:t>
      </w:r>
      <w:r w:rsidRPr="00280C1A">
        <w:rPr>
          <w:rFonts w:ascii="Arial" w:hAnsi="Arial" w:cs="Arial"/>
          <w:sz w:val="22"/>
          <w:szCs w:val="22"/>
        </w:rPr>
        <w:t xml:space="preserve"> by Nicholas H. Steneck, which features case studies, text-box inserts, discussion questions, and electronic and printed resources.</w:t>
      </w:r>
    </w:p>
    <w:p w:rsidR="008C2F6B" w:rsidRPr="00280C1A" w:rsidRDefault="008C2F6B" w:rsidP="0003058F">
      <w:pPr>
        <w:ind w:firstLine="432"/>
        <w:jc w:val="both"/>
        <w:rPr>
          <w:rFonts w:ascii="Arial" w:hAnsi="Arial" w:cs="Arial"/>
          <w:sz w:val="22"/>
          <w:szCs w:val="22"/>
        </w:rPr>
      </w:pPr>
      <w:r w:rsidRPr="00280C1A">
        <w:rPr>
          <w:rFonts w:ascii="Arial" w:hAnsi="Arial" w:cs="Arial"/>
          <w:sz w:val="22"/>
          <w:szCs w:val="22"/>
        </w:rPr>
        <w:t xml:space="preserve">The faculty members </w:t>
      </w:r>
      <w:r w:rsidR="00EC4290">
        <w:rPr>
          <w:rFonts w:ascii="Arial" w:hAnsi="Arial" w:cs="Arial"/>
          <w:sz w:val="22"/>
          <w:szCs w:val="22"/>
        </w:rPr>
        <w:t>are</w:t>
      </w:r>
      <w:r w:rsidRPr="00280C1A">
        <w:rPr>
          <w:rFonts w:ascii="Arial" w:hAnsi="Arial" w:cs="Arial"/>
          <w:sz w:val="22"/>
          <w:szCs w:val="22"/>
        </w:rPr>
        <w:t xml:space="preserve"> Wayne T. McCormack, PhD (Course Director, former Associate Dean for Graduate Education); William L. Allen, JD, MDiv (Director, Program in Bioethics, Law </w:t>
      </w:r>
      <w:r w:rsidR="000E572E">
        <w:rPr>
          <w:rFonts w:ascii="Arial" w:hAnsi="Arial" w:cs="Arial"/>
          <w:sz w:val="22"/>
          <w:szCs w:val="22"/>
        </w:rPr>
        <w:t xml:space="preserve">&amp; </w:t>
      </w:r>
      <w:r w:rsidRPr="00280C1A">
        <w:rPr>
          <w:rFonts w:ascii="Arial" w:hAnsi="Arial" w:cs="Arial"/>
          <w:sz w:val="22"/>
          <w:szCs w:val="22"/>
        </w:rPr>
        <w:t>Medical Professionalism); William Buhi, PhD (IACUC Chair); Ammon B. Peck, PhD (</w:t>
      </w:r>
      <w:r w:rsidR="00670673">
        <w:rPr>
          <w:rFonts w:ascii="Arial" w:hAnsi="Arial" w:cs="Arial"/>
          <w:sz w:val="22"/>
          <w:szCs w:val="22"/>
        </w:rPr>
        <w:t xml:space="preserve">Associate Dean for Research </w:t>
      </w:r>
      <w:r w:rsidR="000E572E">
        <w:rPr>
          <w:rFonts w:ascii="Arial" w:hAnsi="Arial" w:cs="Arial"/>
          <w:sz w:val="22"/>
          <w:szCs w:val="22"/>
        </w:rPr>
        <w:t xml:space="preserve">&amp; </w:t>
      </w:r>
      <w:r w:rsidR="00670673">
        <w:rPr>
          <w:rFonts w:ascii="Arial" w:hAnsi="Arial" w:cs="Arial"/>
          <w:sz w:val="22"/>
          <w:szCs w:val="22"/>
        </w:rPr>
        <w:t xml:space="preserve">Graduate Studies, College of Veterinary Medicine, and </w:t>
      </w:r>
      <w:r w:rsidRPr="00280C1A">
        <w:rPr>
          <w:rFonts w:ascii="Arial" w:hAnsi="Arial" w:cs="Arial"/>
          <w:sz w:val="22"/>
          <w:szCs w:val="22"/>
        </w:rPr>
        <w:t>former IRB Co-Chair); Colin Sumners, PhD (former Associate Dean for Graduate Education</w:t>
      </w:r>
      <w:r w:rsidR="00670673">
        <w:rPr>
          <w:rFonts w:ascii="Arial" w:hAnsi="Arial" w:cs="Arial"/>
          <w:sz w:val="22"/>
          <w:szCs w:val="22"/>
        </w:rPr>
        <w:t xml:space="preserve"> and Director, Junior Honors Medical Program</w:t>
      </w:r>
      <w:r w:rsidRPr="00280C1A">
        <w:rPr>
          <w:rFonts w:ascii="Arial" w:hAnsi="Arial" w:cs="Arial"/>
          <w:sz w:val="22"/>
          <w:szCs w:val="22"/>
        </w:rPr>
        <w:t xml:space="preserve">); </w:t>
      </w:r>
      <w:r w:rsidR="00670673">
        <w:rPr>
          <w:rFonts w:ascii="Arial" w:hAnsi="Arial" w:cs="Arial"/>
          <w:sz w:val="22"/>
          <w:szCs w:val="22"/>
        </w:rPr>
        <w:t xml:space="preserve">and </w:t>
      </w:r>
      <w:r w:rsidRPr="00280C1A">
        <w:rPr>
          <w:rFonts w:ascii="Arial" w:hAnsi="Arial" w:cs="Arial"/>
          <w:sz w:val="22"/>
          <w:szCs w:val="22"/>
        </w:rPr>
        <w:t>Bruce Goldberger, PhD (Editor-in-Chief, Journal of Analytical Toxicology). In order to meet the frequency of training requirement, a “refresher” c</w:t>
      </w:r>
      <w:r w:rsidR="008D4D7C">
        <w:rPr>
          <w:rFonts w:ascii="Arial" w:hAnsi="Arial" w:cs="Arial"/>
          <w:sz w:val="22"/>
          <w:szCs w:val="22"/>
        </w:rPr>
        <w:t>ourse is under development for T</w:t>
      </w:r>
      <w:r w:rsidRPr="00280C1A">
        <w:rPr>
          <w:rFonts w:ascii="Arial" w:hAnsi="Arial" w:cs="Arial"/>
          <w:sz w:val="22"/>
          <w:szCs w:val="22"/>
        </w:rPr>
        <w:t xml:space="preserve">rainees who do not complete doctoral studies within four years of taking this course. </w:t>
      </w:r>
    </w:p>
    <w:p w:rsidR="008C2F6B" w:rsidRPr="00280C1A" w:rsidRDefault="008C2F6B" w:rsidP="0003058F">
      <w:pPr>
        <w:pStyle w:val="DataField11pt-Single"/>
        <w:widowControl w:val="0"/>
        <w:ind w:firstLine="432"/>
        <w:jc w:val="both"/>
        <w:rPr>
          <w:szCs w:val="22"/>
        </w:rPr>
      </w:pPr>
      <w:r w:rsidRPr="00EC4290">
        <w:rPr>
          <w:szCs w:val="22"/>
        </w:rPr>
        <w:t>Trainees who participate in research involving human subjects</w:t>
      </w:r>
      <w:r w:rsidR="00EC4290">
        <w:rPr>
          <w:szCs w:val="22"/>
        </w:rPr>
        <w:t xml:space="preserve"> are also required to take the following </w:t>
      </w:r>
      <w:r w:rsidRPr="00280C1A">
        <w:rPr>
          <w:szCs w:val="22"/>
        </w:rPr>
        <w:t>additional training:</w:t>
      </w:r>
    </w:p>
    <w:p w:rsidR="008C2F6B" w:rsidRPr="00280C1A" w:rsidRDefault="008C2F6B" w:rsidP="0003058F">
      <w:pPr>
        <w:pStyle w:val="DataField11pt-Single"/>
        <w:widowControl w:val="0"/>
        <w:numPr>
          <w:ilvl w:val="1"/>
          <w:numId w:val="1"/>
        </w:numPr>
        <w:ind w:left="0" w:firstLine="432"/>
        <w:jc w:val="both"/>
        <w:rPr>
          <w:szCs w:val="22"/>
        </w:rPr>
      </w:pPr>
      <w:r w:rsidRPr="00280C1A">
        <w:rPr>
          <w:szCs w:val="22"/>
        </w:rPr>
        <w:t>NIH or CITI certification in Research/Good Clinical Practice</w:t>
      </w:r>
    </w:p>
    <w:p w:rsidR="008C2F6B" w:rsidRPr="00280C1A" w:rsidRDefault="008C2F6B" w:rsidP="0003058F">
      <w:pPr>
        <w:pStyle w:val="DataField11pt-Single"/>
        <w:widowControl w:val="0"/>
        <w:numPr>
          <w:ilvl w:val="1"/>
          <w:numId w:val="1"/>
        </w:numPr>
        <w:ind w:left="0" w:firstLine="432"/>
        <w:jc w:val="both"/>
        <w:rPr>
          <w:szCs w:val="22"/>
        </w:rPr>
      </w:pPr>
      <w:r w:rsidRPr="00280C1A">
        <w:rPr>
          <w:szCs w:val="22"/>
        </w:rPr>
        <w:t>UF IRB required training: including the Belmont Report, 45 CFR 46 in Code of Federal Regulations, IRB Policies &amp; Procedures, and Researcher Responsibilities</w:t>
      </w:r>
    </w:p>
    <w:p w:rsidR="008C2F6B" w:rsidRPr="00280C1A" w:rsidRDefault="008C2F6B" w:rsidP="0003058F">
      <w:pPr>
        <w:pStyle w:val="DataField11pt-Single"/>
        <w:widowControl w:val="0"/>
        <w:numPr>
          <w:ilvl w:val="1"/>
          <w:numId w:val="1"/>
        </w:numPr>
        <w:ind w:left="0" w:firstLine="432"/>
        <w:jc w:val="both"/>
        <w:rPr>
          <w:szCs w:val="22"/>
        </w:rPr>
      </w:pPr>
      <w:r w:rsidRPr="00280C1A">
        <w:rPr>
          <w:szCs w:val="22"/>
        </w:rPr>
        <w:t>UF HIPAA for Researchers training, updated yearly</w:t>
      </w:r>
    </w:p>
    <w:p w:rsidR="008C2F6B" w:rsidRPr="00280C1A" w:rsidRDefault="008C2F6B" w:rsidP="0003058F">
      <w:pPr>
        <w:pStyle w:val="DataField11pt-Single"/>
        <w:widowControl w:val="0"/>
        <w:numPr>
          <w:ilvl w:val="1"/>
          <w:numId w:val="1"/>
        </w:numPr>
        <w:ind w:left="0" w:firstLine="432"/>
        <w:jc w:val="both"/>
        <w:rPr>
          <w:szCs w:val="22"/>
        </w:rPr>
      </w:pPr>
      <w:r w:rsidRPr="00280C1A">
        <w:rPr>
          <w:szCs w:val="22"/>
        </w:rPr>
        <w:t>UF RAC/ CTC required training for any study staff member with face-to-face contact with the subject or with responsibilities for tracking sponsor paid billing vs. standard of care</w:t>
      </w:r>
    </w:p>
    <w:p w:rsidR="008C2F6B" w:rsidRPr="00280C1A" w:rsidRDefault="008C2F6B" w:rsidP="0003058F">
      <w:pPr>
        <w:pStyle w:val="DataField11pt-Single"/>
        <w:widowControl w:val="0"/>
        <w:numPr>
          <w:ilvl w:val="1"/>
          <w:numId w:val="1"/>
        </w:numPr>
        <w:ind w:left="0" w:firstLine="432"/>
        <w:jc w:val="both"/>
        <w:rPr>
          <w:szCs w:val="22"/>
        </w:rPr>
      </w:pPr>
      <w:r w:rsidRPr="00280C1A">
        <w:rPr>
          <w:szCs w:val="22"/>
        </w:rPr>
        <w:t>Participation in the regular IRB Education and Training sessions</w:t>
      </w:r>
    </w:p>
    <w:p w:rsidR="008C2F6B" w:rsidRPr="00280C1A" w:rsidRDefault="008C2F6B" w:rsidP="0003058F">
      <w:pPr>
        <w:pStyle w:val="DataField11pt-Single"/>
        <w:widowControl w:val="0"/>
        <w:ind w:firstLine="432"/>
        <w:jc w:val="both"/>
        <w:rPr>
          <w:b/>
          <w:szCs w:val="22"/>
        </w:rPr>
      </w:pPr>
      <w:r w:rsidRPr="00280C1A">
        <w:rPr>
          <w:szCs w:val="22"/>
        </w:rPr>
        <w:t xml:space="preserve">Additionally, all study staff will attend initial training regarding specifics of the study conducted by the PI, sub-investigators and study coordinator. </w:t>
      </w:r>
    </w:p>
    <w:p w:rsidR="00EA0462" w:rsidRPr="00280C1A" w:rsidRDefault="008C2F6B" w:rsidP="00EA0462">
      <w:pPr>
        <w:pStyle w:val="DataField11pt-Single"/>
        <w:widowControl w:val="0"/>
        <w:ind w:firstLine="432"/>
        <w:jc w:val="both"/>
        <w:rPr>
          <w:szCs w:val="22"/>
        </w:rPr>
      </w:pPr>
      <w:r w:rsidRPr="00EC4290">
        <w:rPr>
          <w:szCs w:val="22"/>
        </w:rPr>
        <w:t>Trainees who participate in research with vertebrate animals</w:t>
      </w:r>
      <w:r w:rsidR="008D4D7C">
        <w:rPr>
          <w:szCs w:val="22"/>
        </w:rPr>
        <w:t xml:space="preserve"> </w:t>
      </w:r>
      <w:r w:rsidR="00EA0462">
        <w:rPr>
          <w:szCs w:val="22"/>
        </w:rPr>
        <w:t xml:space="preserve">are also required to take the following </w:t>
      </w:r>
      <w:r w:rsidR="00EA0462" w:rsidRPr="00280C1A">
        <w:rPr>
          <w:szCs w:val="22"/>
        </w:rPr>
        <w:t>additional training:</w:t>
      </w:r>
    </w:p>
    <w:p w:rsidR="00EA0462" w:rsidRPr="00EA0462" w:rsidRDefault="00EA0462" w:rsidP="0003058F">
      <w:pPr>
        <w:pStyle w:val="DataField11pt-Single"/>
        <w:widowControl w:val="0"/>
        <w:numPr>
          <w:ilvl w:val="1"/>
          <w:numId w:val="1"/>
        </w:numPr>
        <w:ind w:left="0" w:firstLine="432"/>
        <w:jc w:val="both"/>
        <w:rPr>
          <w:bCs/>
          <w:szCs w:val="22"/>
        </w:rPr>
      </w:pPr>
      <w:r>
        <w:rPr>
          <w:bCs/>
          <w:szCs w:val="22"/>
        </w:rPr>
        <w:t>“Animal Awareness Seminar” (online).</w:t>
      </w:r>
    </w:p>
    <w:p w:rsidR="008C2F6B" w:rsidRPr="00EC4290" w:rsidRDefault="008C2F6B" w:rsidP="0003058F">
      <w:pPr>
        <w:pStyle w:val="DataField11pt-Single"/>
        <w:widowControl w:val="0"/>
        <w:numPr>
          <w:ilvl w:val="1"/>
          <w:numId w:val="1"/>
        </w:numPr>
        <w:ind w:left="0" w:firstLine="432"/>
        <w:jc w:val="both"/>
        <w:rPr>
          <w:bCs/>
          <w:szCs w:val="22"/>
        </w:rPr>
      </w:pPr>
      <w:r w:rsidRPr="00EC4290">
        <w:rPr>
          <w:szCs w:val="22"/>
        </w:rPr>
        <w:t xml:space="preserve">Health Risk Assessment Form for the </w:t>
      </w:r>
      <w:r w:rsidR="00EA0462">
        <w:rPr>
          <w:szCs w:val="22"/>
        </w:rPr>
        <w:t xml:space="preserve">UF </w:t>
      </w:r>
      <w:r w:rsidRPr="00EC4290">
        <w:rPr>
          <w:szCs w:val="22"/>
        </w:rPr>
        <w:t>E</w:t>
      </w:r>
      <w:r w:rsidR="00EC4290" w:rsidRPr="00EC4290">
        <w:rPr>
          <w:szCs w:val="22"/>
        </w:rPr>
        <w:t>HS</w:t>
      </w:r>
      <w:r w:rsidRPr="00EC4290">
        <w:rPr>
          <w:szCs w:val="22"/>
        </w:rPr>
        <w:t xml:space="preserve"> Animal Contact Program.</w:t>
      </w:r>
    </w:p>
    <w:p w:rsidR="008C2F6B" w:rsidRPr="00EC4290" w:rsidRDefault="00EA0462" w:rsidP="0003058F">
      <w:pPr>
        <w:pStyle w:val="DataField11pt-Single"/>
        <w:widowControl w:val="0"/>
        <w:numPr>
          <w:ilvl w:val="1"/>
          <w:numId w:val="1"/>
        </w:numPr>
        <w:ind w:left="0" w:firstLine="432"/>
        <w:jc w:val="both"/>
        <w:rPr>
          <w:rStyle w:val="Strong"/>
          <w:b w:val="0"/>
          <w:szCs w:val="22"/>
        </w:rPr>
      </w:pPr>
      <w:r>
        <w:rPr>
          <w:rStyle w:val="Strong"/>
          <w:b w:val="0"/>
          <w:szCs w:val="22"/>
        </w:rPr>
        <w:t>“</w:t>
      </w:r>
      <w:r w:rsidR="008C2F6B" w:rsidRPr="00EC4290">
        <w:rPr>
          <w:rStyle w:val="Strong"/>
          <w:b w:val="0"/>
          <w:szCs w:val="22"/>
        </w:rPr>
        <w:t>Working with the UF IACUC</w:t>
      </w:r>
      <w:r>
        <w:rPr>
          <w:rStyle w:val="Strong"/>
          <w:b w:val="0"/>
          <w:szCs w:val="22"/>
        </w:rPr>
        <w:t>”</w:t>
      </w:r>
      <w:r w:rsidR="008C2F6B" w:rsidRPr="00EC4290">
        <w:rPr>
          <w:rStyle w:val="Strong"/>
          <w:b w:val="0"/>
          <w:szCs w:val="22"/>
        </w:rPr>
        <w:t xml:space="preserve"> </w:t>
      </w:r>
      <w:r>
        <w:rPr>
          <w:rStyle w:val="Strong"/>
          <w:b w:val="0"/>
          <w:szCs w:val="22"/>
        </w:rPr>
        <w:t xml:space="preserve">(online) </w:t>
      </w:r>
      <w:r w:rsidR="00EC4290" w:rsidRPr="00EC4290">
        <w:rPr>
          <w:rStyle w:val="Strong"/>
          <w:b w:val="0"/>
          <w:szCs w:val="22"/>
        </w:rPr>
        <w:t>with a p</w:t>
      </w:r>
      <w:r w:rsidR="008C2F6B" w:rsidRPr="00EC4290">
        <w:rPr>
          <w:rStyle w:val="Strong"/>
          <w:b w:val="0"/>
          <w:szCs w:val="22"/>
        </w:rPr>
        <w:t xml:space="preserve">assing </w:t>
      </w:r>
      <w:r w:rsidR="00EC4290" w:rsidRPr="00EC4290">
        <w:rPr>
          <w:rStyle w:val="Strong"/>
          <w:b w:val="0"/>
          <w:szCs w:val="22"/>
        </w:rPr>
        <w:t>of</w:t>
      </w:r>
      <w:r w:rsidR="008C2F6B" w:rsidRPr="00EC4290">
        <w:rPr>
          <w:rStyle w:val="Strong"/>
          <w:b w:val="0"/>
          <w:szCs w:val="22"/>
        </w:rPr>
        <w:t xml:space="preserve"> 85% and re-examination every three years.</w:t>
      </w:r>
    </w:p>
    <w:p w:rsidR="00EA0462" w:rsidRPr="00EA0462" w:rsidRDefault="00EC4290" w:rsidP="00EA0462">
      <w:pPr>
        <w:pStyle w:val="NormalWeb"/>
        <w:widowControl w:val="0"/>
        <w:jc w:val="both"/>
        <w:rPr>
          <w:rFonts w:ascii="Arial" w:hAnsi="Arial" w:cs="Arial"/>
          <w:sz w:val="22"/>
          <w:szCs w:val="22"/>
        </w:rPr>
      </w:pPr>
      <w:r w:rsidRPr="00EC4290">
        <w:rPr>
          <w:rFonts w:ascii="Arial" w:hAnsi="Arial" w:cs="Arial"/>
          <w:sz w:val="22"/>
          <w:szCs w:val="22"/>
        </w:rPr>
        <w:t>T</w:t>
      </w:r>
      <w:r w:rsidR="008C2F6B" w:rsidRPr="00EC4290">
        <w:rPr>
          <w:rFonts w:ascii="Arial" w:hAnsi="Arial" w:cs="Arial"/>
          <w:sz w:val="22"/>
          <w:szCs w:val="22"/>
        </w:rPr>
        <w:t xml:space="preserve">rainees who working with </w:t>
      </w:r>
      <w:r w:rsidR="008C2F6B" w:rsidRPr="00EC4290">
        <w:rPr>
          <w:rStyle w:val="Strong"/>
          <w:rFonts w:ascii="Arial" w:hAnsi="Arial" w:cs="Arial"/>
          <w:b w:val="0"/>
          <w:sz w:val="22"/>
          <w:szCs w:val="22"/>
        </w:rPr>
        <w:t>mouse breeding colonies</w:t>
      </w:r>
      <w:r w:rsidR="008C2F6B" w:rsidRPr="00EC4290">
        <w:rPr>
          <w:rFonts w:ascii="Arial" w:hAnsi="Arial" w:cs="Arial"/>
          <w:sz w:val="22"/>
          <w:szCs w:val="22"/>
        </w:rPr>
        <w:t xml:space="preserve">, outside of Animal Care Services, </w:t>
      </w:r>
      <w:r w:rsidRPr="00EC4290">
        <w:rPr>
          <w:rFonts w:ascii="Arial" w:hAnsi="Arial" w:cs="Arial"/>
          <w:sz w:val="22"/>
          <w:szCs w:val="22"/>
        </w:rPr>
        <w:t xml:space="preserve">must </w:t>
      </w:r>
      <w:r w:rsidR="008C2F6B" w:rsidRPr="00EC4290">
        <w:rPr>
          <w:rFonts w:ascii="Arial" w:hAnsi="Arial" w:cs="Arial"/>
          <w:sz w:val="22"/>
          <w:szCs w:val="22"/>
        </w:rPr>
        <w:t xml:space="preserve">take and pass </w:t>
      </w:r>
      <w:r w:rsidR="00EA0462">
        <w:rPr>
          <w:rFonts w:ascii="Arial" w:hAnsi="Arial" w:cs="Arial"/>
          <w:sz w:val="22"/>
          <w:szCs w:val="22"/>
        </w:rPr>
        <w:t>“</w:t>
      </w:r>
      <w:r w:rsidR="008C2F6B" w:rsidRPr="00EC4290">
        <w:rPr>
          <w:rFonts w:ascii="Arial" w:hAnsi="Arial" w:cs="Arial"/>
          <w:sz w:val="22"/>
          <w:szCs w:val="22"/>
        </w:rPr>
        <w:t>Mouse Breeding Colony Management</w:t>
      </w:r>
      <w:r w:rsidR="00EA0462">
        <w:rPr>
          <w:rFonts w:ascii="Arial" w:hAnsi="Arial" w:cs="Arial"/>
          <w:sz w:val="22"/>
          <w:szCs w:val="22"/>
        </w:rPr>
        <w:t>”</w:t>
      </w:r>
      <w:r w:rsidR="008C2F6B" w:rsidRPr="00EC4290">
        <w:rPr>
          <w:rFonts w:ascii="Arial" w:hAnsi="Arial" w:cs="Arial"/>
          <w:sz w:val="22"/>
          <w:szCs w:val="22"/>
        </w:rPr>
        <w:t xml:space="preserve">. All individuals </w:t>
      </w:r>
      <w:r w:rsidR="008C2F6B" w:rsidRPr="00EC4290">
        <w:rPr>
          <w:rStyle w:val="Strong"/>
          <w:rFonts w:ascii="Arial" w:hAnsi="Arial" w:cs="Arial"/>
          <w:b w:val="0"/>
          <w:sz w:val="22"/>
          <w:szCs w:val="22"/>
        </w:rPr>
        <w:t>breeding genetically engineered mice</w:t>
      </w:r>
      <w:r w:rsidR="008C2F6B" w:rsidRPr="00EC4290">
        <w:rPr>
          <w:rFonts w:ascii="Arial" w:hAnsi="Arial" w:cs="Arial"/>
          <w:sz w:val="22"/>
          <w:szCs w:val="22"/>
        </w:rPr>
        <w:t xml:space="preserve">, outside of Animal Care Services, </w:t>
      </w:r>
      <w:r w:rsidRPr="00EC4290">
        <w:rPr>
          <w:rFonts w:ascii="Arial" w:hAnsi="Arial" w:cs="Arial"/>
          <w:sz w:val="22"/>
          <w:szCs w:val="22"/>
        </w:rPr>
        <w:t>are</w:t>
      </w:r>
      <w:r w:rsidR="008C2F6B" w:rsidRPr="00EC4290">
        <w:rPr>
          <w:rFonts w:ascii="Arial" w:hAnsi="Arial" w:cs="Arial"/>
          <w:sz w:val="22"/>
          <w:szCs w:val="22"/>
        </w:rPr>
        <w:t xml:space="preserve"> required to take </w:t>
      </w:r>
      <w:r w:rsidR="00EA0462">
        <w:rPr>
          <w:rFonts w:ascii="Arial" w:hAnsi="Arial" w:cs="Arial"/>
          <w:sz w:val="22"/>
          <w:szCs w:val="22"/>
        </w:rPr>
        <w:t>“</w:t>
      </w:r>
      <w:r w:rsidR="008C2F6B" w:rsidRPr="00EC4290">
        <w:rPr>
          <w:rFonts w:ascii="Arial" w:hAnsi="Arial" w:cs="Arial"/>
          <w:sz w:val="22"/>
          <w:szCs w:val="22"/>
        </w:rPr>
        <w:t>Genetically Engineered Mice: Approaches for Evaluating the Phenotype</w:t>
      </w:r>
      <w:r w:rsidR="00EA0462">
        <w:rPr>
          <w:rFonts w:ascii="Arial" w:hAnsi="Arial" w:cs="Arial"/>
          <w:sz w:val="22"/>
          <w:szCs w:val="22"/>
        </w:rPr>
        <w:t>”</w:t>
      </w:r>
      <w:r w:rsidR="008C2F6B" w:rsidRPr="00EC4290">
        <w:rPr>
          <w:rFonts w:ascii="Arial" w:hAnsi="Arial" w:cs="Arial"/>
          <w:sz w:val="22"/>
          <w:szCs w:val="22"/>
        </w:rPr>
        <w:t xml:space="preserve"> AND </w:t>
      </w:r>
      <w:r w:rsidR="00EA0462">
        <w:rPr>
          <w:rFonts w:ascii="Arial" w:hAnsi="Arial" w:cs="Arial"/>
          <w:sz w:val="22"/>
          <w:szCs w:val="22"/>
        </w:rPr>
        <w:t>“</w:t>
      </w:r>
      <w:r w:rsidR="008C2F6B" w:rsidRPr="00EC4290">
        <w:rPr>
          <w:rFonts w:ascii="Arial" w:hAnsi="Arial" w:cs="Arial"/>
          <w:sz w:val="22"/>
          <w:szCs w:val="22"/>
        </w:rPr>
        <w:t>Genetically Engineered Mice: Overview of Transgenesis and Conditional Control</w:t>
      </w:r>
      <w:r w:rsidR="00EA0462">
        <w:rPr>
          <w:rFonts w:ascii="Arial" w:hAnsi="Arial" w:cs="Arial"/>
          <w:sz w:val="22"/>
          <w:szCs w:val="22"/>
        </w:rPr>
        <w:t>”</w:t>
      </w:r>
      <w:r w:rsidR="008C2F6B" w:rsidRPr="00EC4290">
        <w:rPr>
          <w:rFonts w:ascii="Arial" w:hAnsi="Arial" w:cs="Arial"/>
          <w:sz w:val="22"/>
          <w:szCs w:val="22"/>
        </w:rPr>
        <w:t>.</w:t>
      </w:r>
    </w:p>
    <w:sectPr w:rsidR="00EA0462" w:rsidRPr="00EA0462" w:rsidSect="00CB4B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067A4"/>
    <w:multiLevelType w:val="hybridMultilevel"/>
    <w:tmpl w:val="0DBA1E46"/>
    <w:lvl w:ilvl="0" w:tplc="04090011">
      <w:start w:val="1"/>
      <w:numFmt w:val="decimal"/>
      <w:lvlText w:val="%1)"/>
      <w:lvlJc w:val="left"/>
      <w:pPr>
        <w:ind w:left="720" w:hanging="360"/>
      </w:pPr>
    </w:lvl>
    <w:lvl w:ilvl="1" w:tplc="E84C28A6">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6B"/>
    <w:rsid w:val="00013E29"/>
    <w:rsid w:val="00015E9A"/>
    <w:rsid w:val="0003058F"/>
    <w:rsid w:val="000D41B8"/>
    <w:rsid w:val="000E572E"/>
    <w:rsid w:val="001C00D4"/>
    <w:rsid w:val="001F6A41"/>
    <w:rsid w:val="00240F75"/>
    <w:rsid w:val="0033057C"/>
    <w:rsid w:val="00490551"/>
    <w:rsid w:val="00522D7B"/>
    <w:rsid w:val="005B61D1"/>
    <w:rsid w:val="00616E18"/>
    <w:rsid w:val="0063753E"/>
    <w:rsid w:val="00653B35"/>
    <w:rsid w:val="00670673"/>
    <w:rsid w:val="008B706B"/>
    <w:rsid w:val="008C2F6B"/>
    <w:rsid w:val="008D4201"/>
    <w:rsid w:val="008D4D7C"/>
    <w:rsid w:val="0096614B"/>
    <w:rsid w:val="00A27025"/>
    <w:rsid w:val="00AB15B0"/>
    <w:rsid w:val="00B518B6"/>
    <w:rsid w:val="00B90435"/>
    <w:rsid w:val="00C22633"/>
    <w:rsid w:val="00C40376"/>
    <w:rsid w:val="00C5049C"/>
    <w:rsid w:val="00CB4BB8"/>
    <w:rsid w:val="00D3422A"/>
    <w:rsid w:val="00DA49E5"/>
    <w:rsid w:val="00DD508C"/>
    <w:rsid w:val="00E8484C"/>
    <w:rsid w:val="00E96573"/>
    <w:rsid w:val="00EA0462"/>
    <w:rsid w:val="00EC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6B"/>
    <w:pPr>
      <w:autoSpaceDE w:val="0"/>
      <w:autoSpaceDN w:val="0"/>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2F6B"/>
    <w:rPr>
      <w:rFonts w:cs="Times"/>
    </w:rPr>
  </w:style>
  <w:style w:type="paragraph" w:customStyle="1" w:styleId="DataField11pt-Single">
    <w:name w:val="Data Field 11pt-Single"/>
    <w:basedOn w:val="Normal"/>
    <w:link w:val="DataField11pt-SingleChar"/>
    <w:rsid w:val="008C2F6B"/>
    <w:rPr>
      <w:rFonts w:ascii="Arial" w:hAnsi="Arial" w:cs="Arial"/>
      <w:sz w:val="22"/>
      <w:szCs w:val="20"/>
    </w:rPr>
  </w:style>
  <w:style w:type="character" w:customStyle="1" w:styleId="DataField11pt-SingleChar">
    <w:name w:val="Data Field 11pt-Single Char"/>
    <w:basedOn w:val="DefaultParagraphFont"/>
    <w:link w:val="DataField11pt-Single"/>
    <w:rsid w:val="008C2F6B"/>
    <w:rPr>
      <w:rFonts w:ascii="Arial" w:eastAsia="Times New Roman" w:hAnsi="Arial" w:cs="Arial"/>
      <w:szCs w:val="20"/>
    </w:rPr>
  </w:style>
  <w:style w:type="character" w:styleId="Strong">
    <w:name w:val="Strong"/>
    <w:basedOn w:val="DefaultParagraphFont"/>
    <w:qFormat/>
    <w:rsid w:val="008C2F6B"/>
    <w:rPr>
      <w:b/>
      <w:bCs/>
    </w:rPr>
  </w:style>
  <w:style w:type="paragraph" w:styleId="BalloonText">
    <w:name w:val="Balloon Text"/>
    <w:basedOn w:val="Normal"/>
    <w:link w:val="BalloonTextChar"/>
    <w:uiPriority w:val="99"/>
    <w:semiHidden/>
    <w:unhideWhenUsed/>
    <w:rsid w:val="008C2F6B"/>
    <w:rPr>
      <w:rFonts w:ascii="Tahoma" w:hAnsi="Tahoma" w:cs="Tahoma"/>
      <w:sz w:val="16"/>
      <w:szCs w:val="16"/>
    </w:rPr>
  </w:style>
  <w:style w:type="character" w:customStyle="1" w:styleId="BalloonTextChar">
    <w:name w:val="Balloon Text Char"/>
    <w:basedOn w:val="DefaultParagraphFont"/>
    <w:link w:val="BalloonText"/>
    <w:uiPriority w:val="99"/>
    <w:semiHidden/>
    <w:rsid w:val="008C2F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6B"/>
    <w:pPr>
      <w:autoSpaceDE w:val="0"/>
      <w:autoSpaceDN w:val="0"/>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2F6B"/>
    <w:rPr>
      <w:rFonts w:cs="Times"/>
    </w:rPr>
  </w:style>
  <w:style w:type="paragraph" w:customStyle="1" w:styleId="DataField11pt-Single">
    <w:name w:val="Data Field 11pt-Single"/>
    <w:basedOn w:val="Normal"/>
    <w:link w:val="DataField11pt-SingleChar"/>
    <w:rsid w:val="008C2F6B"/>
    <w:rPr>
      <w:rFonts w:ascii="Arial" w:hAnsi="Arial" w:cs="Arial"/>
      <w:sz w:val="22"/>
      <w:szCs w:val="20"/>
    </w:rPr>
  </w:style>
  <w:style w:type="character" w:customStyle="1" w:styleId="DataField11pt-SingleChar">
    <w:name w:val="Data Field 11pt-Single Char"/>
    <w:basedOn w:val="DefaultParagraphFont"/>
    <w:link w:val="DataField11pt-Single"/>
    <w:rsid w:val="008C2F6B"/>
    <w:rPr>
      <w:rFonts w:ascii="Arial" w:eastAsia="Times New Roman" w:hAnsi="Arial" w:cs="Arial"/>
      <w:szCs w:val="20"/>
    </w:rPr>
  </w:style>
  <w:style w:type="character" w:styleId="Strong">
    <w:name w:val="Strong"/>
    <w:basedOn w:val="DefaultParagraphFont"/>
    <w:qFormat/>
    <w:rsid w:val="008C2F6B"/>
    <w:rPr>
      <w:b/>
      <w:bCs/>
    </w:rPr>
  </w:style>
  <w:style w:type="paragraph" w:styleId="BalloonText">
    <w:name w:val="Balloon Text"/>
    <w:basedOn w:val="Normal"/>
    <w:link w:val="BalloonTextChar"/>
    <w:uiPriority w:val="99"/>
    <w:semiHidden/>
    <w:unhideWhenUsed/>
    <w:rsid w:val="008C2F6B"/>
    <w:rPr>
      <w:rFonts w:ascii="Tahoma" w:hAnsi="Tahoma" w:cs="Tahoma"/>
      <w:sz w:val="16"/>
      <w:szCs w:val="16"/>
    </w:rPr>
  </w:style>
  <w:style w:type="character" w:customStyle="1" w:styleId="BalloonTextChar">
    <w:name w:val="Balloon Text Char"/>
    <w:basedOn w:val="DefaultParagraphFont"/>
    <w:link w:val="BalloonText"/>
    <w:uiPriority w:val="99"/>
    <w:semiHidden/>
    <w:rsid w:val="008C2F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baylisc</dc:creator>
  <cp:lastModifiedBy>Jenn Hubbs</cp:lastModifiedBy>
  <cp:revision>2</cp:revision>
  <dcterms:created xsi:type="dcterms:W3CDTF">2013-09-05T20:12:00Z</dcterms:created>
  <dcterms:modified xsi:type="dcterms:W3CDTF">2013-09-05T20:12:00Z</dcterms:modified>
</cp:coreProperties>
</file>