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themeColor="background1" w:themeShade="F2"/>
  <w:body>
    <w:tbl>
      <w:tblPr>
        <w:tblW w:w="14181" w:type="dxa"/>
        <w:tblInd w:w="288" w:type="dxa"/>
        <w:tblLook w:val="0000"/>
      </w:tblPr>
      <w:tblGrid>
        <w:gridCol w:w="6413"/>
        <w:gridCol w:w="787"/>
        <w:gridCol w:w="6981"/>
      </w:tblGrid>
      <w:tr w:rsidR="001E2074" w:rsidRPr="002D736F" w:rsidTr="007D6AD2">
        <w:trPr>
          <w:trHeight w:val="1765"/>
        </w:trPr>
        <w:tc>
          <w:tcPr>
            <w:tcW w:w="6413" w:type="dxa"/>
          </w:tcPr>
          <w:p w:rsidR="001E2074" w:rsidRPr="002D736F" w:rsidRDefault="001E2074" w:rsidP="00317CA9">
            <w:pPr>
              <w:spacing w:after="60" w:line="240" w:lineRule="auto"/>
              <w:rPr>
                <w:rFonts w:ascii="Adobe Heiti Std R" w:eastAsia="Adobe Heiti Std R" w:hAnsi="Adobe Heiti Std R"/>
                <w:b/>
                <w:color w:val="000000" w:themeColor="text1"/>
                <w:sz w:val="36"/>
                <w:szCs w:val="36"/>
              </w:rPr>
            </w:pPr>
            <w:r w:rsidRPr="002D736F">
              <w:rPr>
                <w:rFonts w:ascii="Adobe Heiti Std R" w:eastAsia="Adobe Heiti Std R" w:hAnsi="Adobe Heiti Std R"/>
                <w:b/>
                <w:color w:val="000000" w:themeColor="text1"/>
                <w:sz w:val="36"/>
                <w:szCs w:val="36"/>
              </w:rPr>
              <w:t>What is A-21?</w:t>
            </w:r>
          </w:p>
          <w:p w:rsidR="001E2074" w:rsidRPr="002D736F" w:rsidRDefault="001E2074" w:rsidP="00BC0A0F">
            <w:pPr>
              <w:rPr>
                <w:color w:val="000000" w:themeColor="text1"/>
              </w:rPr>
            </w:pPr>
            <w:r w:rsidRPr="002D736F">
              <w:rPr>
                <w:color w:val="000000" w:themeColor="text1"/>
              </w:rPr>
              <w:t xml:space="preserve">OMB Circular A-21 </w:t>
            </w:r>
            <w:r w:rsidR="00EA6CCA">
              <w:rPr>
                <w:color w:val="000000" w:themeColor="text1"/>
              </w:rPr>
              <w:t xml:space="preserve">is a federal circular published by the Office of Management and Budget. A-21 </w:t>
            </w:r>
            <w:r w:rsidRPr="002D736F">
              <w:rPr>
                <w:color w:val="000000" w:themeColor="text1"/>
              </w:rPr>
              <w:t>establishes principles for determining the costs applicable to federal grants, contracts, and other sponsored agreements with educational institutions.</w:t>
            </w:r>
          </w:p>
        </w:tc>
        <w:tc>
          <w:tcPr>
            <w:tcW w:w="787" w:type="dxa"/>
            <w:vMerge w:val="restart"/>
          </w:tcPr>
          <w:p w:rsidR="001E2074" w:rsidRPr="002D736F" w:rsidRDefault="001E2074" w:rsidP="004F5C66">
            <w:pPr>
              <w:jc w:val="right"/>
              <w:rPr>
                <w:rFonts w:cstheme="minorHAnsi"/>
                <w:color w:val="000000" w:themeColor="text1"/>
              </w:rPr>
            </w:pPr>
          </w:p>
          <w:p w:rsidR="001E2074" w:rsidRPr="002D736F" w:rsidRDefault="001E2074" w:rsidP="00317CA9">
            <w:pPr>
              <w:jc w:val="center"/>
              <w:rPr>
                <w:color w:val="000000" w:themeColor="text1"/>
              </w:rPr>
            </w:pPr>
          </w:p>
        </w:tc>
        <w:tc>
          <w:tcPr>
            <w:tcW w:w="6981" w:type="dxa"/>
            <w:vMerge w:val="restart"/>
          </w:tcPr>
          <w:p w:rsidR="001E2074" w:rsidRPr="002D736F" w:rsidRDefault="00317CA9" w:rsidP="00317CA9">
            <w:pPr>
              <w:spacing w:after="60" w:line="240" w:lineRule="auto"/>
              <w:rPr>
                <w:rFonts w:ascii="Adobe Heiti Std R" w:eastAsia="Adobe Heiti Std R" w:hAnsi="Adobe Heiti Std R"/>
                <w:b/>
                <w:color w:val="000000" w:themeColor="text1"/>
                <w:sz w:val="36"/>
                <w:szCs w:val="36"/>
              </w:rPr>
            </w:pPr>
            <w:r>
              <w:rPr>
                <w:rFonts w:ascii="Adobe Heiti Std R" w:eastAsia="Adobe Heiti Std R" w:hAnsi="Adobe Heiti Std R"/>
                <w:b/>
                <w:color w:val="000000" w:themeColor="text1"/>
                <w:sz w:val="36"/>
                <w:szCs w:val="36"/>
              </w:rPr>
              <w:t>Exceptions</w:t>
            </w:r>
          </w:p>
          <w:p w:rsidR="00317CA9" w:rsidRPr="002D736F" w:rsidRDefault="00317CA9" w:rsidP="00317CA9">
            <w:pPr>
              <w:spacing w:after="60" w:line="240" w:lineRule="auto"/>
              <w:rPr>
                <w:color w:val="000000" w:themeColor="text1"/>
              </w:rPr>
            </w:pPr>
            <w:r w:rsidRPr="002D736F">
              <w:rPr>
                <w:color w:val="000000" w:themeColor="text1"/>
              </w:rPr>
              <w:t>Consistent treatment of “costs incurred for the same purpose in like circumstances” is an important concept.</w:t>
            </w:r>
            <w:r>
              <w:rPr>
                <w:color w:val="000000" w:themeColor="text1"/>
              </w:rPr>
              <w:t xml:space="preserve"> </w:t>
            </w:r>
            <w:r w:rsidRPr="002D736F">
              <w:rPr>
                <w:color w:val="000000" w:themeColor="text1"/>
              </w:rPr>
              <w:t xml:space="preserve">But what about </w:t>
            </w:r>
            <w:r w:rsidRPr="002D736F">
              <w:rPr>
                <w:color w:val="000000" w:themeColor="text1"/>
                <w:u w:val="single"/>
              </w:rPr>
              <w:t>unlike circumstances</w:t>
            </w:r>
            <w:r w:rsidRPr="002D736F">
              <w:rPr>
                <w:color w:val="000000" w:themeColor="text1"/>
              </w:rPr>
              <w:t xml:space="preserve">? </w:t>
            </w:r>
          </w:p>
          <w:p w:rsidR="00317CA9" w:rsidRPr="002D736F" w:rsidRDefault="00317CA9" w:rsidP="00317CA9">
            <w:pPr>
              <w:spacing w:after="60" w:line="240" w:lineRule="auto"/>
              <w:rPr>
                <w:color w:val="000000" w:themeColor="text1"/>
              </w:rPr>
            </w:pPr>
            <w:r w:rsidRPr="002D736F">
              <w:rPr>
                <w:color w:val="000000" w:themeColor="text1"/>
              </w:rPr>
              <w:t>UF’s CAS (Cost Accounting Standards) policy includes guidelines for appropriate exceptions – situations in which costs that are normally treated as indirect costs need to be treated as direct costs.</w:t>
            </w:r>
          </w:p>
          <w:p w:rsidR="00317CA9" w:rsidRPr="002D736F" w:rsidRDefault="00317CA9" w:rsidP="00317CA9">
            <w:pPr>
              <w:spacing w:after="60" w:line="240" w:lineRule="auto"/>
              <w:rPr>
                <w:color w:val="000000" w:themeColor="text1"/>
              </w:rPr>
            </w:pPr>
            <w:r w:rsidRPr="002D736F">
              <w:rPr>
                <w:color w:val="000000" w:themeColor="text1"/>
              </w:rPr>
              <w:t xml:space="preserve">In these cases, the Principal Investigator can submit a CAS Exemption form (DSR-04) prior to incurring the cost in order to justify their direct charging. The form enables you to present the unlike circumstances of the project and must be submitted to the Division of Sponsored Research (DSR). </w:t>
            </w:r>
          </w:p>
          <w:p w:rsidR="00317CA9" w:rsidRPr="002D736F" w:rsidRDefault="00317CA9" w:rsidP="00317CA9">
            <w:pPr>
              <w:spacing w:before="100" w:after="0" w:line="240" w:lineRule="auto"/>
              <w:rPr>
                <w:color w:val="000000" w:themeColor="text1"/>
              </w:rPr>
            </w:pPr>
            <w:r w:rsidRPr="002D736F">
              <w:rPr>
                <w:color w:val="000000" w:themeColor="text1"/>
              </w:rPr>
              <w:t>Situations in which a CAS exemption may be granted include:</w:t>
            </w:r>
          </w:p>
          <w:p w:rsidR="00317CA9" w:rsidRPr="002D736F" w:rsidRDefault="00317CA9" w:rsidP="00317CA9">
            <w:pPr>
              <w:pStyle w:val="ListParagraph"/>
              <w:numPr>
                <w:ilvl w:val="0"/>
                <w:numId w:val="6"/>
              </w:numPr>
              <w:spacing w:before="100" w:after="0" w:line="240" w:lineRule="auto"/>
              <w:contextualSpacing w:val="0"/>
              <w:rPr>
                <w:color w:val="000000" w:themeColor="text1"/>
                <w:sz w:val="24"/>
                <w:szCs w:val="24"/>
              </w:rPr>
            </w:pPr>
            <w:r w:rsidRPr="002D736F">
              <w:rPr>
                <w:rFonts w:cstheme="minorHAnsi"/>
                <w:color w:val="000000" w:themeColor="text1"/>
              </w:rPr>
              <w:t>Clerical and administrative salaries may be paid from a federally sponsored project in order to suppor</w:t>
            </w:r>
            <w:r>
              <w:rPr>
                <w:rFonts w:cstheme="minorHAnsi"/>
                <w:color w:val="000000" w:themeColor="text1"/>
              </w:rPr>
              <w:t xml:space="preserve">t a major project or activity. </w:t>
            </w:r>
            <w:r w:rsidRPr="002D736F">
              <w:rPr>
                <w:rFonts w:cstheme="minorHAnsi"/>
                <w:color w:val="000000" w:themeColor="text1"/>
              </w:rPr>
              <w:t xml:space="preserve"> </w:t>
            </w:r>
          </w:p>
          <w:p w:rsidR="00317CA9" w:rsidRPr="002D736F" w:rsidRDefault="00317CA9" w:rsidP="00317CA9">
            <w:pPr>
              <w:pStyle w:val="ListParagraph"/>
              <w:numPr>
                <w:ilvl w:val="0"/>
                <w:numId w:val="6"/>
              </w:numPr>
              <w:spacing w:before="100" w:after="0" w:line="240" w:lineRule="auto"/>
              <w:contextualSpacing w:val="0"/>
              <w:rPr>
                <w:color w:val="000000" w:themeColor="text1"/>
                <w:sz w:val="24"/>
                <w:szCs w:val="24"/>
              </w:rPr>
            </w:pPr>
            <w:r w:rsidRPr="002D736F">
              <w:rPr>
                <w:rFonts w:cstheme="minorHAnsi"/>
                <w:color w:val="000000" w:themeColor="text1"/>
              </w:rPr>
              <w:t>General office supplies in order to study office ergonomics</w:t>
            </w:r>
            <w:r>
              <w:rPr>
                <w:rFonts w:cstheme="minorHAnsi"/>
                <w:color w:val="000000" w:themeColor="text1"/>
              </w:rPr>
              <w:t>.</w:t>
            </w:r>
          </w:p>
          <w:p w:rsidR="00317CA9" w:rsidRPr="002D736F" w:rsidRDefault="00317CA9" w:rsidP="00317CA9">
            <w:pPr>
              <w:pStyle w:val="ListParagraph"/>
              <w:numPr>
                <w:ilvl w:val="0"/>
                <w:numId w:val="6"/>
              </w:numPr>
              <w:spacing w:before="100" w:after="0" w:line="240" w:lineRule="auto"/>
              <w:contextualSpacing w:val="0"/>
              <w:rPr>
                <w:color w:val="000000" w:themeColor="text1"/>
              </w:rPr>
            </w:pPr>
            <w:r w:rsidRPr="002D736F">
              <w:rPr>
                <w:color w:val="000000" w:themeColor="text1"/>
              </w:rPr>
              <w:t>Paper and envelopes for a project in which a large number of surveys need to be sent out</w:t>
            </w:r>
            <w:r>
              <w:rPr>
                <w:color w:val="000000" w:themeColor="text1"/>
              </w:rPr>
              <w:t>.</w:t>
            </w:r>
          </w:p>
          <w:p w:rsidR="00317CA9" w:rsidRDefault="00317CA9" w:rsidP="00317CA9">
            <w:pPr>
              <w:pStyle w:val="ListParagraph"/>
              <w:numPr>
                <w:ilvl w:val="0"/>
                <w:numId w:val="6"/>
              </w:numPr>
              <w:spacing w:before="100" w:after="0" w:line="240" w:lineRule="auto"/>
              <w:contextualSpacing w:val="0"/>
              <w:rPr>
                <w:color w:val="000000" w:themeColor="text1"/>
              </w:rPr>
            </w:pPr>
            <w:r w:rsidRPr="002D736F">
              <w:rPr>
                <w:color w:val="000000" w:themeColor="text1"/>
              </w:rPr>
              <w:t>Local telephone service for a hotline or crisis line that is</w:t>
            </w:r>
            <w:r w:rsidR="0084476B">
              <w:rPr>
                <w:color w:val="000000" w:themeColor="text1"/>
              </w:rPr>
              <w:t xml:space="preserve"> </w:t>
            </w:r>
            <w:r w:rsidR="0084476B">
              <w:rPr>
                <w:color w:val="000000" w:themeColor="text1"/>
              </w:rPr>
              <w:br/>
            </w:r>
            <w:r w:rsidRPr="002D736F">
              <w:rPr>
                <w:color w:val="000000" w:themeColor="text1"/>
              </w:rPr>
              <w:t>s</w:t>
            </w:r>
            <w:r>
              <w:rPr>
                <w:color w:val="000000" w:themeColor="text1"/>
              </w:rPr>
              <w:t xml:space="preserve">pecifically required by a grant. </w:t>
            </w:r>
          </w:p>
          <w:p w:rsidR="001E2074" w:rsidRDefault="001E2074" w:rsidP="00BE4C54">
            <w:pPr>
              <w:spacing w:before="120" w:after="0" w:line="240" w:lineRule="auto"/>
              <w:rPr>
                <w:rFonts w:ascii="Adobe Heiti Std R" w:eastAsia="Adobe Heiti Std R" w:hAnsi="Adobe Heiti Std R"/>
                <w:b/>
                <w:color w:val="000000" w:themeColor="text1"/>
                <w:sz w:val="36"/>
                <w:szCs w:val="36"/>
              </w:rPr>
            </w:pPr>
            <w:r w:rsidRPr="002D736F">
              <w:rPr>
                <w:rFonts w:ascii="Adobe Heiti Std R" w:eastAsia="Adobe Heiti Std R" w:hAnsi="Adobe Heiti Std R"/>
                <w:b/>
                <w:color w:val="000000" w:themeColor="text1"/>
                <w:sz w:val="36"/>
                <w:szCs w:val="36"/>
              </w:rPr>
              <w:t>In</w:t>
            </w:r>
            <w:r w:rsidR="00317CA9">
              <w:rPr>
                <w:rFonts w:ascii="Adobe Heiti Std R" w:eastAsia="Adobe Heiti Std R" w:hAnsi="Adobe Heiti Std R"/>
                <w:b/>
                <w:color w:val="000000" w:themeColor="text1"/>
                <w:sz w:val="36"/>
                <w:szCs w:val="36"/>
              </w:rPr>
              <w:t>appropriate Practices</w:t>
            </w:r>
          </w:p>
          <w:p w:rsidR="00317CA9" w:rsidRPr="002D736F" w:rsidRDefault="00317CA9" w:rsidP="00317CA9">
            <w:pPr>
              <w:spacing w:before="100" w:after="0" w:line="240" w:lineRule="auto"/>
              <w:ind w:left="-5"/>
              <w:rPr>
                <w:color w:val="000000" w:themeColor="text1"/>
              </w:rPr>
            </w:pPr>
            <w:r w:rsidRPr="002D736F">
              <w:rPr>
                <w:color w:val="000000" w:themeColor="text1"/>
              </w:rPr>
              <w:t xml:space="preserve">Some practices are unacceptable because they do not meet A-21's standard for assigning costs to sponsored agreements with a high degree of accuracy. For example: </w:t>
            </w:r>
          </w:p>
          <w:p w:rsidR="00317CA9" w:rsidRDefault="00317CA9" w:rsidP="00317CA9">
            <w:pPr>
              <w:pStyle w:val="ListParagraph"/>
              <w:numPr>
                <w:ilvl w:val="0"/>
                <w:numId w:val="5"/>
              </w:numPr>
              <w:spacing w:before="60" w:after="0" w:line="240" w:lineRule="auto"/>
              <w:ind w:left="720"/>
              <w:contextualSpacing w:val="0"/>
              <w:rPr>
                <w:color w:val="000000" w:themeColor="text1"/>
              </w:rPr>
            </w:pPr>
            <w:r w:rsidRPr="00317CA9">
              <w:rPr>
                <w:color w:val="000000" w:themeColor="text1"/>
              </w:rPr>
              <w:t xml:space="preserve">Assigning charges to the project with the largest balance. </w:t>
            </w:r>
          </w:p>
          <w:p w:rsidR="00317CA9" w:rsidRPr="00317CA9" w:rsidRDefault="00317CA9" w:rsidP="00317CA9">
            <w:pPr>
              <w:pStyle w:val="ListParagraph"/>
              <w:numPr>
                <w:ilvl w:val="0"/>
                <w:numId w:val="5"/>
              </w:numPr>
              <w:spacing w:before="60" w:after="0" w:line="240" w:lineRule="auto"/>
              <w:ind w:left="720"/>
              <w:contextualSpacing w:val="0"/>
              <w:rPr>
                <w:color w:val="000000" w:themeColor="text1"/>
              </w:rPr>
            </w:pPr>
            <w:r w:rsidRPr="00317CA9">
              <w:rPr>
                <w:color w:val="000000" w:themeColor="text1"/>
              </w:rPr>
              <w:t>Assigning charges to the project with the nearest end date</w:t>
            </w:r>
            <w:r>
              <w:rPr>
                <w:color w:val="000000" w:themeColor="text1"/>
              </w:rPr>
              <w:t>.</w:t>
            </w:r>
            <w:r w:rsidRPr="00317CA9">
              <w:rPr>
                <w:color w:val="000000" w:themeColor="text1"/>
              </w:rPr>
              <w:t xml:space="preserve"> </w:t>
            </w:r>
          </w:p>
          <w:p w:rsidR="00317CA9" w:rsidRPr="002D736F" w:rsidRDefault="00317CA9" w:rsidP="00317CA9">
            <w:pPr>
              <w:spacing w:before="200" w:after="0" w:line="240" w:lineRule="auto"/>
              <w:rPr>
                <w:color w:val="000000" w:themeColor="text1"/>
              </w:rPr>
            </w:pPr>
            <w:r w:rsidRPr="002D736F">
              <w:rPr>
                <w:color w:val="000000" w:themeColor="text1"/>
              </w:rPr>
              <w:t xml:space="preserve">Other spending practices can create the potential appearance of inappropriate spending, though they might be justifiable depending on </w:t>
            </w:r>
            <w:r w:rsidR="0084476B">
              <w:rPr>
                <w:color w:val="000000" w:themeColor="text1"/>
              </w:rPr>
              <w:br/>
            </w:r>
            <w:r w:rsidRPr="002D736F">
              <w:rPr>
                <w:color w:val="000000" w:themeColor="text1"/>
              </w:rPr>
              <w:t xml:space="preserve">the situation. For example: </w:t>
            </w:r>
          </w:p>
          <w:p w:rsidR="00317CA9" w:rsidRPr="002D736F" w:rsidRDefault="00317CA9" w:rsidP="00317CA9">
            <w:pPr>
              <w:pStyle w:val="ListParagraph"/>
              <w:numPr>
                <w:ilvl w:val="0"/>
                <w:numId w:val="5"/>
              </w:numPr>
              <w:spacing w:before="60" w:after="0" w:line="240" w:lineRule="auto"/>
              <w:ind w:left="720"/>
              <w:contextualSpacing w:val="0"/>
              <w:rPr>
                <w:color w:val="000000" w:themeColor="text1"/>
              </w:rPr>
            </w:pPr>
            <w:r w:rsidRPr="002D736F">
              <w:rPr>
                <w:color w:val="000000" w:themeColor="text1"/>
              </w:rPr>
              <w:t xml:space="preserve">Purchasing equipment in the last quarter of a project. </w:t>
            </w:r>
          </w:p>
          <w:p w:rsidR="00317CA9" w:rsidRPr="00317CA9" w:rsidRDefault="00317CA9" w:rsidP="00317CA9">
            <w:pPr>
              <w:pStyle w:val="ListParagraph"/>
              <w:numPr>
                <w:ilvl w:val="0"/>
                <w:numId w:val="5"/>
              </w:numPr>
              <w:spacing w:before="60" w:after="0" w:line="240" w:lineRule="auto"/>
              <w:ind w:left="720"/>
              <w:contextualSpacing w:val="0"/>
              <w:rPr>
                <w:color w:val="000000" w:themeColor="text1"/>
              </w:rPr>
            </w:pPr>
            <w:r w:rsidRPr="002D736F">
              <w:rPr>
                <w:color w:val="000000" w:themeColor="text1"/>
              </w:rPr>
              <w:t xml:space="preserve">Purchasing a large quantity of supplies near the project’s conclusion. </w:t>
            </w:r>
          </w:p>
          <w:p w:rsidR="007D6AD2" w:rsidRPr="002D736F" w:rsidRDefault="007D6AD2" w:rsidP="00317CA9">
            <w:pPr>
              <w:spacing w:after="0" w:line="240" w:lineRule="auto"/>
              <w:rPr>
                <w:color w:val="000000" w:themeColor="text1"/>
              </w:rPr>
            </w:pPr>
          </w:p>
        </w:tc>
      </w:tr>
      <w:tr w:rsidR="001E2074" w:rsidRPr="002D736F" w:rsidTr="007D6AD2">
        <w:trPr>
          <w:trHeight w:val="6500"/>
        </w:trPr>
        <w:tc>
          <w:tcPr>
            <w:tcW w:w="6413" w:type="dxa"/>
          </w:tcPr>
          <w:p w:rsidR="001E2074" w:rsidRPr="002D736F" w:rsidRDefault="001E2074" w:rsidP="00BC0A0F">
            <w:pPr>
              <w:spacing w:before="100" w:after="0" w:line="240" w:lineRule="auto"/>
              <w:ind w:left="-5"/>
              <w:rPr>
                <w:color w:val="000000" w:themeColor="text1"/>
              </w:rPr>
            </w:pPr>
            <w:r w:rsidRPr="002D736F">
              <w:rPr>
                <w:color w:val="000000" w:themeColor="text1"/>
              </w:rPr>
              <w:t xml:space="preserve">In order for a cost to be </w:t>
            </w:r>
            <w:r w:rsidRPr="002D736F">
              <w:rPr>
                <w:color w:val="000000" w:themeColor="text1"/>
                <w:u w:val="single"/>
              </w:rPr>
              <w:t>allowable</w:t>
            </w:r>
            <w:r w:rsidRPr="002D736F">
              <w:rPr>
                <w:color w:val="000000" w:themeColor="text1"/>
              </w:rPr>
              <w:t>, it must be:</w:t>
            </w:r>
          </w:p>
          <w:p w:rsidR="001E2074" w:rsidRPr="002D736F" w:rsidRDefault="001E2074" w:rsidP="00BC0A0F">
            <w:pPr>
              <w:spacing w:before="120" w:after="0" w:line="240" w:lineRule="auto"/>
              <w:ind w:left="280"/>
              <w:rPr>
                <w:rFonts w:ascii="Adobe Heiti Std R" w:eastAsia="Adobe Heiti Std R" w:hAnsi="Adobe Heiti Std R"/>
                <w:b/>
                <w:color w:val="000000" w:themeColor="text1"/>
                <w:sz w:val="36"/>
                <w:szCs w:val="36"/>
              </w:rPr>
            </w:pPr>
            <w:r w:rsidRPr="002D736F">
              <w:rPr>
                <w:rFonts w:ascii="Adobe Heiti Std R" w:eastAsia="Adobe Heiti Std R" w:hAnsi="Adobe Heiti Std R"/>
                <w:b/>
                <w:color w:val="000000" w:themeColor="text1"/>
                <w:sz w:val="36"/>
                <w:szCs w:val="36"/>
              </w:rPr>
              <w:t>Necessary</w:t>
            </w:r>
          </w:p>
          <w:p w:rsidR="001E2074" w:rsidRPr="002D736F" w:rsidRDefault="001E2074" w:rsidP="00BC0A0F">
            <w:pPr>
              <w:spacing w:after="120" w:line="240" w:lineRule="auto"/>
              <w:ind w:left="274"/>
              <w:rPr>
                <w:color w:val="000000" w:themeColor="text1"/>
              </w:rPr>
            </w:pPr>
            <w:r w:rsidRPr="002D736F">
              <w:rPr>
                <w:color w:val="000000" w:themeColor="text1"/>
              </w:rPr>
              <w:t xml:space="preserve">The cost must be strictly required for the conduct of the work to be done on the sponsored project. </w:t>
            </w:r>
          </w:p>
          <w:p w:rsidR="001E2074" w:rsidRPr="002D736F" w:rsidRDefault="001E2074" w:rsidP="00BC0A0F">
            <w:pPr>
              <w:spacing w:after="0" w:line="240" w:lineRule="auto"/>
              <w:ind w:left="280"/>
              <w:rPr>
                <w:rFonts w:ascii="Adobe Heiti Std R" w:eastAsia="Adobe Heiti Std R" w:hAnsi="Adobe Heiti Std R"/>
                <w:b/>
                <w:color w:val="000000" w:themeColor="text1"/>
                <w:sz w:val="36"/>
                <w:szCs w:val="36"/>
              </w:rPr>
            </w:pPr>
            <w:r w:rsidRPr="002D736F">
              <w:rPr>
                <w:rFonts w:ascii="Adobe Heiti Std R" w:eastAsia="Adobe Heiti Std R" w:hAnsi="Adobe Heiti Std R"/>
                <w:b/>
                <w:color w:val="000000" w:themeColor="text1"/>
                <w:sz w:val="36"/>
                <w:szCs w:val="36"/>
              </w:rPr>
              <w:t>Reasonable</w:t>
            </w:r>
          </w:p>
          <w:p w:rsidR="001E2074" w:rsidRPr="002D736F" w:rsidRDefault="001E2074" w:rsidP="00BC0A0F">
            <w:pPr>
              <w:spacing w:after="120" w:line="240" w:lineRule="auto"/>
              <w:ind w:left="274"/>
              <w:rPr>
                <w:color w:val="000000" w:themeColor="text1"/>
              </w:rPr>
            </w:pPr>
            <w:r w:rsidRPr="002D736F">
              <w:rPr>
                <w:color w:val="000000" w:themeColor="text1"/>
              </w:rPr>
              <w:t xml:space="preserve">The cost must reflect the actions of a prudent person. </w:t>
            </w:r>
            <w:r w:rsidR="002007E7" w:rsidRPr="002D736F">
              <w:rPr>
                <w:color w:val="000000" w:themeColor="text1"/>
              </w:rPr>
              <w:t xml:space="preserve"> </w:t>
            </w:r>
            <w:r w:rsidRPr="002D736F">
              <w:rPr>
                <w:color w:val="000000" w:themeColor="text1"/>
              </w:rPr>
              <w:t>One commo</w:t>
            </w:r>
            <w:r w:rsidR="002007E7" w:rsidRPr="002D736F">
              <w:rPr>
                <w:color w:val="000000" w:themeColor="text1"/>
              </w:rPr>
              <w:t xml:space="preserve">n sense way to think about the </w:t>
            </w:r>
            <w:r w:rsidRPr="002D736F">
              <w:rPr>
                <w:color w:val="000000" w:themeColor="text1"/>
              </w:rPr>
              <w:t xml:space="preserve">reasonable cost test is: </w:t>
            </w:r>
            <w:r w:rsidR="0084476B">
              <w:rPr>
                <w:color w:val="000000" w:themeColor="text1"/>
              </w:rPr>
              <w:br/>
            </w:r>
            <w:r w:rsidRPr="002D736F">
              <w:rPr>
                <w:color w:val="000000" w:themeColor="text1"/>
              </w:rPr>
              <w:t>“If you had to write a check using your checkbook, what would you pay for the item?</w:t>
            </w:r>
            <w:r w:rsidR="002007E7" w:rsidRPr="002D736F">
              <w:rPr>
                <w:color w:val="000000" w:themeColor="text1"/>
              </w:rPr>
              <w:t>”</w:t>
            </w:r>
          </w:p>
          <w:p w:rsidR="001E2074" w:rsidRPr="002D736F" w:rsidRDefault="001E2074" w:rsidP="00BC0A0F">
            <w:pPr>
              <w:spacing w:after="0" w:line="240" w:lineRule="auto"/>
              <w:ind w:left="280"/>
              <w:rPr>
                <w:rFonts w:ascii="Adobe Heiti Std R" w:eastAsia="Adobe Heiti Std R" w:hAnsi="Adobe Heiti Std R"/>
                <w:b/>
                <w:color w:val="000000" w:themeColor="text1"/>
                <w:sz w:val="36"/>
                <w:szCs w:val="36"/>
              </w:rPr>
            </w:pPr>
            <w:r w:rsidRPr="002D736F">
              <w:rPr>
                <w:rFonts w:ascii="Adobe Heiti Std R" w:eastAsia="Adobe Heiti Std R" w:hAnsi="Adobe Heiti Std R"/>
                <w:b/>
                <w:color w:val="000000" w:themeColor="text1"/>
                <w:sz w:val="36"/>
                <w:szCs w:val="36"/>
              </w:rPr>
              <w:t>Allocable</w:t>
            </w:r>
          </w:p>
          <w:p w:rsidR="001E2074" w:rsidRPr="002D736F" w:rsidRDefault="001E2074" w:rsidP="00BC0A0F">
            <w:pPr>
              <w:spacing w:after="120" w:line="240" w:lineRule="auto"/>
              <w:ind w:left="274"/>
              <w:rPr>
                <w:color w:val="000000" w:themeColor="text1"/>
              </w:rPr>
            </w:pPr>
            <w:r w:rsidRPr="002D736F">
              <w:rPr>
                <w:color w:val="000000" w:themeColor="text1"/>
              </w:rPr>
              <w:t xml:space="preserve">The cost must </w:t>
            </w:r>
            <w:r w:rsidR="00D34BAC" w:rsidRPr="002D736F">
              <w:rPr>
                <w:color w:val="000000" w:themeColor="text1"/>
              </w:rPr>
              <w:t xml:space="preserve">solely </w:t>
            </w:r>
            <w:r w:rsidRPr="002D736F">
              <w:rPr>
                <w:color w:val="000000" w:themeColor="text1"/>
              </w:rPr>
              <w:t>benefit the project</w:t>
            </w:r>
            <w:r w:rsidR="00D34BAC" w:rsidRPr="002D736F">
              <w:rPr>
                <w:color w:val="000000" w:themeColor="text1"/>
              </w:rPr>
              <w:t>. I</w:t>
            </w:r>
            <w:r w:rsidRPr="002D736F">
              <w:rPr>
                <w:color w:val="000000" w:themeColor="text1"/>
              </w:rPr>
              <w:t xml:space="preserve">f </w:t>
            </w:r>
            <w:r w:rsidR="00D34BAC" w:rsidRPr="002D736F">
              <w:rPr>
                <w:color w:val="000000" w:themeColor="text1"/>
              </w:rPr>
              <w:t>the cost</w:t>
            </w:r>
            <w:r w:rsidRPr="002D736F">
              <w:rPr>
                <w:color w:val="000000" w:themeColor="text1"/>
              </w:rPr>
              <w:t xml:space="preserve"> benefits multiple projects, </w:t>
            </w:r>
            <w:r w:rsidR="00D34BAC" w:rsidRPr="002D736F">
              <w:rPr>
                <w:color w:val="000000" w:themeColor="text1"/>
              </w:rPr>
              <w:t xml:space="preserve">it </w:t>
            </w:r>
            <w:r w:rsidRPr="002D736F">
              <w:rPr>
                <w:color w:val="000000" w:themeColor="text1"/>
              </w:rPr>
              <w:t xml:space="preserve">must be distributed in accordance with its relative benefit using a methodology that is justifiable.  </w:t>
            </w:r>
          </w:p>
          <w:p w:rsidR="001E2074" w:rsidRPr="002D736F" w:rsidRDefault="001E2074" w:rsidP="00BC0A0F">
            <w:pPr>
              <w:spacing w:after="0" w:line="240" w:lineRule="auto"/>
              <w:ind w:left="280"/>
              <w:rPr>
                <w:rFonts w:ascii="Adobe Heiti Std R" w:eastAsia="Adobe Heiti Std R" w:hAnsi="Adobe Heiti Std R"/>
                <w:b/>
                <w:color w:val="000000" w:themeColor="text1"/>
                <w:sz w:val="36"/>
                <w:szCs w:val="36"/>
              </w:rPr>
            </w:pPr>
            <w:r w:rsidRPr="002D736F">
              <w:rPr>
                <w:rFonts w:ascii="Adobe Heiti Std R" w:eastAsia="Adobe Heiti Std R" w:hAnsi="Adobe Heiti Std R"/>
                <w:b/>
                <w:color w:val="000000" w:themeColor="text1"/>
                <w:sz w:val="36"/>
                <w:szCs w:val="36"/>
              </w:rPr>
              <w:t>Treated Consistently</w:t>
            </w:r>
          </w:p>
          <w:p w:rsidR="001E2074" w:rsidRDefault="00724882" w:rsidP="00BC0A0F">
            <w:pPr>
              <w:spacing w:after="120" w:line="240" w:lineRule="auto"/>
              <w:ind w:left="274"/>
              <w:rPr>
                <w:color w:val="000000" w:themeColor="text1"/>
              </w:rPr>
            </w:pPr>
            <w:r w:rsidRPr="00724882">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34.5pt;margin-top:39.4pt;width:385.95pt;height:1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" fillcolor="#ccd8e6 [1305]" strokecolor="#f2f2f2 [3041]" strokeweight="3pt">
                  <v:shadow on="t" color="#344d6c [1609]" opacity=".5" offset="1pt"/>
                  <v:textbox>
                    <w:txbxContent>
                      <w:p w:rsidR="007D6AD2" w:rsidRDefault="007D6AD2" w:rsidP="007D6AD2">
                        <w:pPr>
                          <w:spacing w:after="80" w:line="240" w:lineRule="auto"/>
                          <w:rPr>
                            <w:b/>
                            <w:sz w:val="28"/>
                          </w:rPr>
                        </w:pPr>
                        <w:r>
                          <w:rPr>
                            <w:b/>
                            <w:sz w:val="28"/>
                          </w:rPr>
                          <w:t>Resources</w:t>
                        </w:r>
                      </w:p>
                      <w:p w:rsidR="008D298D" w:rsidRDefault="007D6AD2" w:rsidP="007D6AD2">
                        <w:r w:rsidRPr="007F4539">
                          <w:rPr>
                            <w:rFonts w:eastAsia="Adobe Heiti Std R" w:cstheme="minorHAnsi"/>
                            <w:color w:val="000000" w:themeColor="text1"/>
                          </w:rPr>
                          <w:t xml:space="preserve">OMB Circular A-21 </w:t>
                        </w:r>
                        <w:hyperlink r:id="rId8" w:history="1">
                          <w:r w:rsidRPr="007F4539">
                            <w:rPr>
                              <w:rStyle w:val="Hyperlink"/>
                              <w:rFonts w:cstheme="minorHAnsi"/>
                            </w:rPr>
                            <w:t>http://www.whitehouse.gov/omb/circulars_a21_2004</w:t>
                          </w:r>
                        </w:hyperlink>
                        <w:r>
                          <w:rPr>
                            <w:rStyle w:val="Hyperlink"/>
                            <w:rFonts w:cstheme="minorHAnsi"/>
                          </w:rPr>
                          <w:br/>
                        </w:r>
                        <w:r w:rsidRPr="007F4539">
                          <w:rPr>
                            <w:rFonts w:eastAsia="Adobe Heiti Std R" w:cstheme="minorHAnsi"/>
                            <w:color w:val="000000" w:themeColor="text1"/>
                          </w:rPr>
                          <w:t xml:space="preserve">UF Costing Policy </w:t>
                        </w:r>
                        <w:r w:rsidRPr="007F4539">
                          <w:rPr>
                            <w:rFonts w:cstheme="minorHAnsi"/>
                            <w:color w:val="000000" w:themeColor="text1"/>
                            <w:u w:val="single"/>
                          </w:rPr>
                          <w:t>http://www.fa.ufl.edu/departments/cost-analysis/costing-guidelines-and-policies/</w:t>
                        </w:r>
                        <w:r>
                          <w:rPr>
                            <w:rFonts w:cstheme="minorHAnsi"/>
                            <w:color w:val="000000" w:themeColor="text1"/>
                            <w:u w:val="single"/>
                          </w:rPr>
                          <w:br/>
                        </w:r>
                        <w:r w:rsidRPr="007F4539">
                          <w:rPr>
                            <w:rFonts w:eastAsia="Adobe Heiti Std R" w:cstheme="minorHAnsi"/>
                            <w:color w:val="000000" w:themeColor="text1"/>
                          </w:rPr>
                          <w:t xml:space="preserve">Division of Sponsored Research </w:t>
                        </w:r>
                        <w:hyperlink r:id="rId9" w:history="1">
                          <w:r w:rsidRPr="007F4539">
                            <w:rPr>
                              <w:rStyle w:val="Hyperlink"/>
                              <w:rFonts w:cstheme="minorHAnsi"/>
                            </w:rPr>
                            <w:t>http://research.ufl.edu/research.html</w:t>
                          </w:r>
                        </w:hyperlink>
                        <w:r>
                          <w:rPr>
                            <w:rStyle w:val="Hyperlink"/>
                            <w:rFonts w:cstheme="minorHAnsi"/>
                          </w:rPr>
                          <w:br/>
                        </w:r>
                        <w:r w:rsidRPr="007F4539">
                          <w:rPr>
                            <w:rFonts w:eastAsia="Adobe Heiti Std R" w:cstheme="minorHAnsi"/>
                            <w:color w:val="000000" w:themeColor="text1"/>
                          </w:rPr>
                          <w:t xml:space="preserve">Contracts &amp; Grants </w:t>
                        </w:r>
                        <w:r w:rsidRPr="007F4539">
                          <w:rPr>
                            <w:rFonts w:cstheme="minorHAnsi"/>
                            <w:color w:val="000000" w:themeColor="text1"/>
                            <w:u w:val="single"/>
                          </w:rPr>
                          <w:t>http://www.cg.cfo.ufl.edu/</w:t>
                        </w:r>
                      </w:p>
                      <w:p w:rsidR="008D298D" w:rsidRDefault="008D298D" w:rsidP="008D298D">
                        <w:pPr>
                          <w:spacing w:after="60" w:line="240" w:lineRule="auto"/>
                        </w:pPr>
                      </w:p>
                    </w:txbxContent>
                  </v:textbox>
                </v:shape>
              </w:pict>
            </w:r>
            <w:r w:rsidR="001E2074" w:rsidRPr="002D736F">
              <w:rPr>
                <w:color w:val="000000" w:themeColor="text1"/>
              </w:rPr>
              <w:t xml:space="preserve">Costs incurred for the same purpose in like circumstances must be treated consistently as either direct or indirect (Facilities &amp; Administrative) costs. </w:t>
            </w:r>
          </w:p>
          <w:p w:rsidR="001E2074" w:rsidRPr="002D736F" w:rsidRDefault="001E2074" w:rsidP="0084476B">
            <w:pPr>
              <w:spacing w:before="480" w:after="0"/>
              <w:rPr>
                <w:rFonts w:ascii="Adobe Heiti Std R" w:eastAsia="Adobe Heiti Std R" w:hAnsi="Adobe Heiti Std R"/>
                <w:b/>
                <w:color w:val="000000" w:themeColor="text1"/>
                <w:sz w:val="36"/>
                <w:szCs w:val="36"/>
              </w:rPr>
            </w:pPr>
          </w:p>
        </w:tc>
        <w:tc>
          <w:tcPr>
            <w:tcW w:w="787" w:type="dxa"/>
            <w:vMerge/>
          </w:tcPr>
          <w:p w:rsidR="001E2074" w:rsidRPr="002D736F" w:rsidRDefault="001E2074" w:rsidP="004F5C66">
            <w:pPr>
              <w:jc w:val="right"/>
              <w:rPr>
                <w:color w:val="000000" w:themeColor="text1"/>
              </w:rPr>
            </w:pPr>
          </w:p>
        </w:tc>
        <w:tc>
          <w:tcPr>
            <w:tcW w:w="6981" w:type="dxa"/>
            <w:vMerge/>
            <w:tcBorders>
              <w:bottom w:val="single" w:sz="4" w:space="0" w:color="auto"/>
            </w:tcBorders>
          </w:tcPr>
          <w:p w:rsidR="001E2074" w:rsidRPr="002D736F" w:rsidRDefault="001E2074">
            <w:pPr>
              <w:rPr>
                <w:color w:val="000000" w:themeColor="text1"/>
              </w:rPr>
            </w:pPr>
          </w:p>
        </w:tc>
      </w:tr>
      <w:tr w:rsidR="00D05483" w:rsidRPr="002D736F" w:rsidTr="007D6AD2">
        <w:trPr>
          <w:trHeight w:val="1700"/>
        </w:trPr>
        <w:tc>
          <w:tcPr>
            <w:tcW w:w="7200" w:type="dxa"/>
            <w:gridSpan w:val="2"/>
            <w:tcBorders>
              <w:top w:val="single" w:sz="4" w:space="0" w:color="auto"/>
              <w:left w:val="single" w:sz="4" w:space="0" w:color="auto"/>
              <w:bottom w:val="single" w:sz="4" w:space="0" w:color="auto"/>
              <w:right w:val="single" w:sz="4" w:space="0" w:color="auto"/>
            </w:tcBorders>
            <w:shd w:val="clear" w:color="auto" w:fill="CCD8E6" w:themeFill="accent6" w:themeFillTint="66"/>
          </w:tcPr>
          <w:p w:rsidR="00D05483" w:rsidRDefault="00D05483" w:rsidP="008D298D">
            <w:pPr>
              <w:spacing w:after="0" w:line="240" w:lineRule="auto"/>
              <w:rPr>
                <w:rFonts w:ascii="Adobe Heiti Std R" w:eastAsia="Adobe Heiti Std R" w:hAnsi="Adobe Heiti Std R"/>
                <w:b/>
                <w:color w:val="000000" w:themeColor="text1"/>
                <w:sz w:val="36"/>
                <w:szCs w:val="36"/>
              </w:rPr>
            </w:pPr>
            <w:r>
              <w:rPr>
                <w:rFonts w:ascii="Adobe Heiti Std R" w:eastAsia="Adobe Heiti Std R" w:hAnsi="Adobe Heiti Std R"/>
                <w:b/>
                <w:color w:val="000000" w:themeColor="text1"/>
                <w:sz w:val="36"/>
                <w:szCs w:val="36"/>
              </w:rPr>
              <w:lastRenderedPageBreak/>
              <w:t>Direct Costs</w:t>
            </w:r>
          </w:p>
          <w:p w:rsidR="00D05483" w:rsidRDefault="00D05483" w:rsidP="008D298D">
            <w:pPr>
              <w:spacing w:after="0" w:line="240" w:lineRule="auto"/>
              <w:rPr>
                <w:color w:val="000000" w:themeColor="text1"/>
              </w:rPr>
            </w:pPr>
            <w:r w:rsidRPr="003F0841">
              <w:rPr>
                <w:color w:val="000000" w:themeColor="text1"/>
              </w:rPr>
              <w:t xml:space="preserve">Costs that can be identified specifically with a particular sponsored project using a high degree of accuracy. </w:t>
            </w:r>
          </w:p>
          <w:p w:rsidR="00D05483" w:rsidRPr="002D736F" w:rsidRDefault="00D05483" w:rsidP="008D298D">
            <w:pPr>
              <w:spacing w:after="0" w:line="240" w:lineRule="auto"/>
              <w:rPr>
                <w:color w:val="000000" w:themeColor="text1"/>
              </w:rPr>
            </w:pPr>
            <w:r>
              <w:rPr>
                <w:color w:val="000000" w:themeColor="text1"/>
              </w:rPr>
              <w:t>The following are typically treated as directs costs:</w:t>
            </w:r>
          </w:p>
        </w:tc>
        <w:tc>
          <w:tcPr>
            <w:tcW w:w="6981" w:type="dxa"/>
            <w:tcBorders>
              <w:top w:val="single" w:sz="4" w:space="0" w:color="auto"/>
              <w:left w:val="single" w:sz="4" w:space="0" w:color="auto"/>
              <w:bottom w:val="single" w:sz="4" w:space="0" w:color="auto"/>
              <w:right w:val="single" w:sz="4" w:space="0" w:color="auto"/>
            </w:tcBorders>
            <w:shd w:val="clear" w:color="auto" w:fill="CCD8E6" w:themeFill="accent6" w:themeFillTint="66"/>
          </w:tcPr>
          <w:p w:rsidR="00D05483" w:rsidRPr="002D736F" w:rsidRDefault="00D05483" w:rsidP="008D298D">
            <w:pPr>
              <w:spacing w:after="0" w:line="240" w:lineRule="auto"/>
              <w:rPr>
                <w:rFonts w:ascii="Adobe Heiti Std R" w:eastAsia="Adobe Heiti Std R" w:hAnsi="Adobe Heiti Std R"/>
                <w:b/>
                <w:color w:val="000000" w:themeColor="text1"/>
                <w:sz w:val="36"/>
                <w:szCs w:val="36"/>
              </w:rPr>
            </w:pPr>
            <w:r>
              <w:rPr>
                <w:rFonts w:ascii="Adobe Heiti Std R" w:eastAsia="Adobe Heiti Std R" w:hAnsi="Adobe Heiti Std R"/>
                <w:b/>
                <w:color w:val="000000" w:themeColor="text1"/>
                <w:sz w:val="36"/>
                <w:szCs w:val="36"/>
              </w:rPr>
              <w:t>Indirect (F&amp;A) Costs</w:t>
            </w:r>
          </w:p>
          <w:p w:rsidR="00D05483" w:rsidRDefault="00D05483" w:rsidP="008D298D">
            <w:pPr>
              <w:spacing w:after="0" w:line="240" w:lineRule="auto"/>
              <w:ind w:left="-5"/>
              <w:rPr>
                <w:color w:val="000000" w:themeColor="text1"/>
              </w:rPr>
            </w:pPr>
            <w:r w:rsidRPr="003F0841">
              <w:rPr>
                <w:color w:val="000000" w:themeColor="text1"/>
              </w:rPr>
              <w:t xml:space="preserve">Costs that are incurred for common or joint objectives and therefore </w:t>
            </w:r>
            <w:r w:rsidRPr="0084476B">
              <w:rPr>
                <w:color w:val="000000" w:themeColor="text1"/>
                <w:u w:val="single"/>
              </w:rPr>
              <w:t>cannot</w:t>
            </w:r>
            <w:r w:rsidRPr="003F0841">
              <w:rPr>
                <w:color w:val="000000" w:themeColor="text1"/>
              </w:rPr>
              <w:t xml:space="preserve"> be identified specifically with a particular sponsored project.</w:t>
            </w:r>
          </w:p>
          <w:p w:rsidR="00D05483" w:rsidRPr="003F0841" w:rsidRDefault="00D05483" w:rsidP="008D298D">
            <w:pPr>
              <w:spacing w:after="0" w:line="240" w:lineRule="auto"/>
              <w:rPr>
                <w:color w:val="000000" w:themeColor="text1"/>
              </w:rPr>
            </w:pPr>
            <w:r>
              <w:rPr>
                <w:color w:val="000000" w:themeColor="text1"/>
              </w:rPr>
              <w:t>The following costs are typically treated as indirect costs:</w:t>
            </w:r>
          </w:p>
        </w:tc>
      </w:tr>
      <w:tr w:rsidR="00D05483" w:rsidRPr="002D736F" w:rsidTr="008D298D">
        <w:trPr>
          <w:trHeight w:val="1520"/>
        </w:trPr>
        <w:tc>
          <w:tcPr>
            <w:tcW w:w="7200" w:type="dxa"/>
            <w:gridSpan w:val="2"/>
            <w:tcBorders>
              <w:top w:val="single" w:sz="4" w:space="0" w:color="auto"/>
              <w:left w:val="single" w:sz="4" w:space="0" w:color="auto"/>
              <w:bottom w:val="single" w:sz="4" w:space="0" w:color="auto"/>
              <w:right w:val="single" w:sz="4" w:space="0" w:color="auto"/>
            </w:tcBorders>
          </w:tcPr>
          <w:p w:rsidR="00D05483" w:rsidRDefault="00D05483" w:rsidP="008D298D">
            <w:pPr>
              <w:spacing w:after="0" w:line="240" w:lineRule="auto"/>
              <w:ind w:left="274"/>
              <w:rPr>
                <w:b/>
                <w:color w:val="000000" w:themeColor="text1"/>
              </w:rPr>
            </w:pPr>
            <w:r w:rsidRPr="00EF3DC4">
              <w:rPr>
                <w:b/>
                <w:color w:val="000000" w:themeColor="text1"/>
              </w:rPr>
              <w:t>Salary &amp; Fringe Benefits</w:t>
            </w:r>
          </w:p>
          <w:p w:rsidR="00D05483" w:rsidRDefault="00D05483" w:rsidP="008D298D">
            <w:pPr>
              <w:spacing w:after="0" w:line="240" w:lineRule="auto"/>
              <w:ind w:left="274"/>
              <w:rPr>
                <w:rFonts w:cstheme="minorHAnsi"/>
                <w:color w:val="000000" w:themeColor="text1"/>
              </w:rPr>
            </w:pPr>
            <w:r>
              <w:rPr>
                <w:color w:val="000000" w:themeColor="text1"/>
              </w:rPr>
              <w:t xml:space="preserve">Faculty, technicians, research associates and assistants, including graduate research assistants and other students performing scientific or technical work, post doctoral associates and other technical and programmatic personnel necessary to meet the goals of the project. </w:t>
            </w:r>
          </w:p>
        </w:tc>
        <w:tc>
          <w:tcPr>
            <w:tcW w:w="6981" w:type="dxa"/>
            <w:tcBorders>
              <w:top w:val="single" w:sz="4" w:space="0" w:color="auto"/>
              <w:left w:val="single" w:sz="4" w:space="0" w:color="auto"/>
              <w:bottom w:val="single" w:sz="4" w:space="0" w:color="auto"/>
              <w:right w:val="single" w:sz="4" w:space="0" w:color="auto"/>
            </w:tcBorders>
          </w:tcPr>
          <w:p w:rsidR="00D05483" w:rsidRDefault="00D05483" w:rsidP="008D298D">
            <w:pPr>
              <w:spacing w:after="0" w:line="240" w:lineRule="auto"/>
              <w:ind w:left="274"/>
              <w:rPr>
                <w:b/>
                <w:color w:val="000000" w:themeColor="text1"/>
              </w:rPr>
            </w:pPr>
            <w:r w:rsidRPr="00EF3DC4">
              <w:rPr>
                <w:b/>
                <w:color w:val="000000" w:themeColor="text1"/>
              </w:rPr>
              <w:t>Salary &amp; Fringe Benefits</w:t>
            </w:r>
          </w:p>
          <w:p w:rsidR="00D05483" w:rsidRPr="00D05483" w:rsidRDefault="00D05483" w:rsidP="008D298D">
            <w:pPr>
              <w:spacing w:after="0" w:line="240" w:lineRule="auto"/>
              <w:ind w:left="274"/>
              <w:rPr>
                <w:color w:val="000000" w:themeColor="text1"/>
              </w:rPr>
            </w:pPr>
            <w:r>
              <w:rPr>
                <w:color w:val="000000" w:themeColor="text1"/>
              </w:rPr>
              <w:t xml:space="preserve">Administrative or clerical positions, such as administrative assistants, accountants, office personnel, purchasing agents, executive assistants, and other administrators. Faculty on non-sabbatical leave. </w:t>
            </w:r>
          </w:p>
        </w:tc>
      </w:tr>
      <w:tr w:rsidR="008D298D" w:rsidRPr="002D736F" w:rsidTr="00AA5895">
        <w:trPr>
          <w:trHeight w:val="1160"/>
        </w:trPr>
        <w:tc>
          <w:tcPr>
            <w:tcW w:w="7200" w:type="dxa"/>
            <w:gridSpan w:val="2"/>
            <w:tcBorders>
              <w:top w:val="single" w:sz="4" w:space="0" w:color="auto"/>
              <w:left w:val="single" w:sz="4" w:space="0" w:color="auto"/>
              <w:bottom w:val="single" w:sz="4" w:space="0" w:color="auto"/>
              <w:right w:val="single" w:sz="4" w:space="0" w:color="auto"/>
            </w:tcBorders>
          </w:tcPr>
          <w:p w:rsidR="008D298D" w:rsidRDefault="008D298D" w:rsidP="008D298D">
            <w:pPr>
              <w:spacing w:after="0" w:line="240" w:lineRule="auto"/>
              <w:ind w:left="274"/>
              <w:rPr>
                <w:b/>
                <w:color w:val="000000" w:themeColor="text1"/>
              </w:rPr>
            </w:pPr>
            <w:r>
              <w:rPr>
                <w:b/>
                <w:color w:val="000000" w:themeColor="text1"/>
              </w:rPr>
              <w:t>Computers</w:t>
            </w:r>
          </w:p>
          <w:p w:rsidR="008D298D" w:rsidRPr="008D298D" w:rsidRDefault="008D298D" w:rsidP="008D298D">
            <w:pPr>
              <w:spacing w:after="0" w:line="240" w:lineRule="auto"/>
              <w:ind w:left="274"/>
              <w:rPr>
                <w:color w:val="000000" w:themeColor="text1"/>
              </w:rPr>
            </w:pPr>
            <w:r>
              <w:rPr>
                <w:color w:val="000000" w:themeColor="text1"/>
              </w:rPr>
              <w:t>Specialized and fixed computing devices necessary for the completion of a specific statement of work.  For example, a server attached directly to a piece of equipment that collects data only from that equipment.</w:t>
            </w:r>
          </w:p>
        </w:tc>
        <w:tc>
          <w:tcPr>
            <w:tcW w:w="6981" w:type="dxa"/>
            <w:tcBorders>
              <w:top w:val="single" w:sz="4" w:space="0" w:color="auto"/>
              <w:left w:val="single" w:sz="4" w:space="0" w:color="auto"/>
              <w:bottom w:val="single" w:sz="4" w:space="0" w:color="auto"/>
              <w:right w:val="single" w:sz="4" w:space="0" w:color="auto"/>
            </w:tcBorders>
          </w:tcPr>
          <w:p w:rsidR="008D298D" w:rsidRDefault="008D298D" w:rsidP="008D298D">
            <w:pPr>
              <w:spacing w:after="0" w:line="240" w:lineRule="auto"/>
              <w:ind w:left="274"/>
              <w:rPr>
                <w:b/>
                <w:color w:val="000000" w:themeColor="text1"/>
              </w:rPr>
            </w:pPr>
            <w:r>
              <w:rPr>
                <w:b/>
                <w:color w:val="000000" w:themeColor="text1"/>
              </w:rPr>
              <w:t>Computers &amp; Mobile Devices</w:t>
            </w:r>
          </w:p>
          <w:p w:rsidR="008D298D" w:rsidRPr="006543AF" w:rsidRDefault="008D298D" w:rsidP="008D298D">
            <w:pPr>
              <w:spacing w:after="0" w:line="240" w:lineRule="auto"/>
              <w:ind w:left="274"/>
              <w:rPr>
                <w:b/>
                <w:color w:val="000000" w:themeColor="text1"/>
              </w:rPr>
            </w:pPr>
            <w:r>
              <w:t xml:space="preserve">Computers, desktops, laptops, tablets, mobile devices, such as cell phones and </w:t>
            </w:r>
            <w:r w:rsidR="006937DD">
              <w:t>smart phones</w:t>
            </w:r>
            <w:r>
              <w:t xml:space="preserve">, and peripherals such </w:t>
            </w:r>
            <w:r w:rsidR="00214BE6">
              <w:t xml:space="preserve">as </w:t>
            </w:r>
            <w:bookmarkStart w:id="0" w:name="_GoBack"/>
            <w:bookmarkEnd w:id="0"/>
            <w:r>
              <w:t>printers and thumb drives.</w:t>
            </w:r>
          </w:p>
        </w:tc>
      </w:tr>
      <w:tr w:rsidR="00D05483" w:rsidRPr="002D736F" w:rsidTr="008D298D">
        <w:trPr>
          <w:trHeight w:val="989"/>
        </w:trPr>
        <w:tc>
          <w:tcPr>
            <w:tcW w:w="7200" w:type="dxa"/>
            <w:gridSpan w:val="2"/>
            <w:tcBorders>
              <w:top w:val="single" w:sz="4" w:space="0" w:color="auto"/>
              <w:left w:val="single" w:sz="4" w:space="0" w:color="auto"/>
              <w:bottom w:val="single" w:sz="4" w:space="0" w:color="auto"/>
              <w:right w:val="single" w:sz="4" w:space="0" w:color="auto"/>
            </w:tcBorders>
          </w:tcPr>
          <w:p w:rsidR="00D05483" w:rsidRDefault="00D05483" w:rsidP="008D298D">
            <w:pPr>
              <w:spacing w:after="0" w:line="240" w:lineRule="auto"/>
              <w:ind w:left="274"/>
              <w:rPr>
                <w:b/>
                <w:color w:val="000000" w:themeColor="text1"/>
              </w:rPr>
            </w:pPr>
            <w:r w:rsidRPr="006543AF">
              <w:rPr>
                <w:b/>
                <w:color w:val="000000" w:themeColor="text1"/>
              </w:rPr>
              <w:t>Travel &amp; Meals</w:t>
            </w:r>
          </w:p>
          <w:p w:rsidR="00D05483" w:rsidRDefault="00D05483" w:rsidP="008D298D">
            <w:pPr>
              <w:spacing w:after="0" w:line="240" w:lineRule="auto"/>
              <w:ind w:left="274"/>
              <w:rPr>
                <w:rFonts w:cstheme="minorHAnsi"/>
                <w:color w:val="000000" w:themeColor="text1"/>
              </w:rPr>
            </w:pPr>
            <w:r>
              <w:rPr>
                <w:color w:val="000000" w:themeColor="text1"/>
              </w:rPr>
              <w:t xml:space="preserve">That which is required to carry out the objectives of the sponsored project including travel to scientific sites. </w:t>
            </w:r>
          </w:p>
        </w:tc>
        <w:tc>
          <w:tcPr>
            <w:tcW w:w="6981" w:type="dxa"/>
            <w:tcBorders>
              <w:top w:val="single" w:sz="4" w:space="0" w:color="auto"/>
              <w:left w:val="single" w:sz="4" w:space="0" w:color="auto"/>
              <w:bottom w:val="single" w:sz="4" w:space="0" w:color="auto"/>
              <w:right w:val="single" w:sz="4" w:space="0" w:color="auto"/>
            </w:tcBorders>
          </w:tcPr>
          <w:p w:rsidR="00D05483" w:rsidRPr="006543AF" w:rsidRDefault="00D05483" w:rsidP="008D298D">
            <w:pPr>
              <w:spacing w:after="0" w:line="240" w:lineRule="auto"/>
              <w:ind w:left="274"/>
              <w:rPr>
                <w:b/>
                <w:color w:val="000000" w:themeColor="text1"/>
              </w:rPr>
            </w:pPr>
            <w:r w:rsidRPr="006543AF">
              <w:rPr>
                <w:b/>
                <w:color w:val="000000" w:themeColor="text1"/>
              </w:rPr>
              <w:t>Travel &amp; Meals</w:t>
            </w:r>
          </w:p>
          <w:p w:rsidR="00D05483" w:rsidRPr="00EF3DC4" w:rsidRDefault="00D05483" w:rsidP="008D298D">
            <w:pPr>
              <w:spacing w:after="0" w:line="240" w:lineRule="auto"/>
              <w:ind w:left="274"/>
              <w:rPr>
                <w:b/>
                <w:color w:val="000000" w:themeColor="text1"/>
              </w:rPr>
            </w:pPr>
            <w:r>
              <w:rPr>
                <w:color w:val="000000" w:themeColor="text1"/>
              </w:rPr>
              <w:t xml:space="preserve">That which is related to administrative activities, food &amp; drink during a lab meeting, entertainment, alcoholic beverages. </w:t>
            </w:r>
          </w:p>
        </w:tc>
      </w:tr>
      <w:tr w:rsidR="00D05483" w:rsidRPr="002D736F" w:rsidTr="008D298D">
        <w:trPr>
          <w:trHeight w:val="1511"/>
        </w:trPr>
        <w:tc>
          <w:tcPr>
            <w:tcW w:w="7200" w:type="dxa"/>
            <w:gridSpan w:val="2"/>
            <w:tcBorders>
              <w:top w:val="single" w:sz="4" w:space="0" w:color="auto"/>
              <w:left w:val="single" w:sz="4" w:space="0" w:color="auto"/>
              <w:bottom w:val="single" w:sz="4" w:space="0" w:color="auto"/>
              <w:right w:val="single" w:sz="4" w:space="0" w:color="auto"/>
            </w:tcBorders>
          </w:tcPr>
          <w:p w:rsidR="00D05483" w:rsidRDefault="00D05483" w:rsidP="008D298D">
            <w:pPr>
              <w:spacing w:after="0" w:line="240" w:lineRule="auto"/>
              <w:ind w:left="274"/>
              <w:rPr>
                <w:b/>
                <w:color w:val="000000" w:themeColor="text1"/>
              </w:rPr>
            </w:pPr>
            <w:r>
              <w:rPr>
                <w:b/>
                <w:color w:val="000000" w:themeColor="text1"/>
              </w:rPr>
              <w:t>Supplies</w:t>
            </w:r>
          </w:p>
          <w:p w:rsidR="00D05483" w:rsidRDefault="00D05483" w:rsidP="008D298D">
            <w:pPr>
              <w:spacing w:after="0" w:line="240" w:lineRule="auto"/>
              <w:ind w:left="274"/>
              <w:rPr>
                <w:rFonts w:cstheme="minorHAnsi"/>
                <w:color w:val="000000" w:themeColor="text1"/>
              </w:rPr>
            </w:pPr>
            <w:r w:rsidRPr="00343014">
              <w:rPr>
                <w:color w:val="000000" w:themeColor="text1"/>
              </w:rPr>
              <w:t>Laboratory and scientific supplies</w:t>
            </w:r>
            <w:r>
              <w:rPr>
                <w:color w:val="000000" w:themeColor="text1"/>
              </w:rPr>
              <w:t xml:space="preserve">, including laboratory notebooks, glassware, chemicals, field supplies, compressed gases and liquids, radioactive material, animals. Part and supplies related to scientific and technical equipment. </w:t>
            </w:r>
          </w:p>
        </w:tc>
        <w:tc>
          <w:tcPr>
            <w:tcW w:w="6981" w:type="dxa"/>
            <w:tcBorders>
              <w:top w:val="single" w:sz="4" w:space="0" w:color="auto"/>
              <w:left w:val="single" w:sz="4" w:space="0" w:color="auto"/>
              <w:bottom w:val="single" w:sz="4" w:space="0" w:color="auto"/>
              <w:right w:val="single" w:sz="4" w:space="0" w:color="auto"/>
            </w:tcBorders>
          </w:tcPr>
          <w:p w:rsidR="00D05483" w:rsidRDefault="00D05483" w:rsidP="008D298D">
            <w:pPr>
              <w:spacing w:after="0" w:line="240" w:lineRule="auto"/>
              <w:ind w:left="274"/>
              <w:rPr>
                <w:b/>
                <w:color w:val="000000" w:themeColor="text1"/>
              </w:rPr>
            </w:pPr>
            <w:r>
              <w:rPr>
                <w:b/>
                <w:color w:val="000000" w:themeColor="text1"/>
              </w:rPr>
              <w:t>Supplies</w:t>
            </w:r>
          </w:p>
          <w:p w:rsidR="00D05483" w:rsidRPr="00343014" w:rsidRDefault="00D05483" w:rsidP="008D298D">
            <w:pPr>
              <w:spacing w:after="0" w:line="240" w:lineRule="auto"/>
              <w:ind w:left="274"/>
              <w:rPr>
                <w:color w:val="000000" w:themeColor="text1"/>
              </w:rPr>
            </w:pPr>
            <w:r>
              <w:rPr>
                <w:color w:val="000000" w:themeColor="text1"/>
              </w:rPr>
              <w:t xml:space="preserve">Office supplies, custodial supplies, parts and supplies associated with repair and maintenance of general purpose equipment and facilities, </w:t>
            </w:r>
            <w:r w:rsidR="006937DD">
              <w:rPr>
                <w:color w:val="000000" w:themeColor="text1"/>
              </w:rPr>
              <w:t xml:space="preserve">general purpose software, </w:t>
            </w:r>
            <w:r>
              <w:rPr>
                <w:color w:val="000000" w:themeColor="text1"/>
              </w:rPr>
              <w:t xml:space="preserve">paper, forms, personal stationery, pads, pens, pencils, markers, printer and fax paper toner, and ink cartridges. </w:t>
            </w:r>
          </w:p>
        </w:tc>
      </w:tr>
      <w:tr w:rsidR="00D05483" w:rsidRPr="002D736F" w:rsidTr="008D298D">
        <w:trPr>
          <w:trHeight w:val="710"/>
        </w:trPr>
        <w:tc>
          <w:tcPr>
            <w:tcW w:w="7200" w:type="dxa"/>
            <w:gridSpan w:val="2"/>
            <w:tcBorders>
              <w:top w:val="single" w:sz="4" w:space="0" w:color="auto"/>
              <w:left w:val="single" w:sz="4" w:space="0" w:color="auto"/>
              <w:bottom w:val="single" w:sz="4" w:space="0" w:color="auto"/>
              <w:right w:val="single" w:sz="4" w:space="0" w:color="auto"/>
            </w:tcBorders>
          </w:tcPr>
          <w:p w:rsidR="00D05483" w:rsidRDefault="00D05483" w:rsidP="008D298D">
            <w:pPr>
              <w:spacing w:after="0" w:line="240" w:lineRule="auto"/>
              <w:ind w:left="274"/>
              <w:rPr>
                <w:b/>
                <w:color w:val="000000" w:themeColor="text1"/>
              </w:rPr>
            </w:pPr>
            <w:r>
              <w:rPr>
                <w:b/>
                <w:color w:val="000000" w:themeColor="text1"/>
              </w:rPr>
              <w:t>Animals &amp; Hazardous Materials</w:t>
            </w:r>
          </w:p>
          <w:p w:rsidR="00D05483" w:rsidRDefault="00D05483" w:rsidP="008D298D">
            <w:pPr>
              <w:spacing w:after="0" w:line="240" w:lineRule="auto"/>
              <w:ind w:left="274"/>
              <w:rPr>
                <w:rFonts w:cstheme="minorHAnsi"/>
                <w:color w:val="000000" w:themeColor="text1"/>
              </w:rPr>
            </w:pPr>
            <w:r>
              <w:rPr>
                <w:color w:val="000000" w:themeColor="text1"/>
              </w:rPr>
              <w:t xml:space="preserve">Hazardous materials, animal purchases, animal per diems. </w:t>
            </w:r>
          </w:p>
        </w:tc>
        <w:tc>
          <w:tcPr>
            <w:tcW w:w="6981" w:type="dxa"/>
            <w:tcBorders>
              <w:top w:val="single" w:sz="4" w:space="0" w:color="auto"/>
              <w:left w:val="single" w:sz="4" w:space="0" w:color="auto"/>
              <w:bottom w:val="single" w:sz="4" w:space="0" w:color="auto"/>
              <w:right w:val="single" w:sz="4" w:space="0" w:color="auto"/>
            </w:tcBorders>
          </w:tcPr>
          <w:p w:rsidR="00D05483" w:rsidRDefault="00D05483" w:rsidP="008D298D">
            <w:pPr>
              <w:spacing w:after="0" w:line="240" w:lineRule="auto"/>
              <w:ind w:left="274"/>
              <w:rPr>
                <w:b/>
                <w:color w:val="000000" w:themeColor="text1"/>
              </w:rPr>
            </w:pPr>
            <w:r>
              <w:rPr>
                <w:b/>
                <w:color w:val="000000" w:themeColor="text1"/>
              </w:rPr>
              <w:t>Animals &amp; Hazardous Materials</w:t>
            </w:r>
          </w:p>
          <w:p w:rsidR="00D05483" w:rsidRDefault="00D05483" w:rsidP="008D298D">
            <w:pPr>
              <w:spacing w:after="0" w:line="240" w:lineRule="auto"/>
              <w:ind w:left="274"/>
              <w:rPr>
                <w:b/>
                <w:color w:val="000000" w:themeColor="text1"/>
              </w:rPr>
            </w:pPr>
            <w:r>
              <w:rPr>
                <w:color w:val="000000" w:themeColor="text1"/>
              </w:rPr>
              <w:t>Radioactive waste</w:t>
            </w:r>
          </w:p>
        </w:tc>
      </w:tr>
      <w:tr w:rsidR="00D05483" w:rsidRPr="002D736F" w:rsidTr="008D298D">
        <w:trPr>
          <w:trHeight w:val="809"/>
        </w:trPr>
        <w:tc>
          <w:tcPr>
            <w:tcW w:w="7200" w:type="dxa"/>
            <w:gridSpan w:val="2"/>
            <w:tcBorders>
              <w:top w:val="single" w:sz="4" w:space="0" w:color="auto"/>
              <w:left w:val="single" w:sz="4" w:space="0" w:color="auto"/>
              <w:bottom w:val="single" w:sz="4" w:space="0" w:color="auto"/>
              <w:right w:val="single" w:sz="4" w:space="0" w:color="auto"/>
            </w:tcBorders>
          </w:tcPr>
          <w:p w:rsidR="00D05483" w:rsidRDefault="00D05483" w:rsidP="008D298D">
            <w:pPr>
              <w:spacing w:after="0" w:line="240" w:lineRule="auto"/>
              <w:ind w:left="274"/>
              <w:rPr>
                <w:b/>
                <w:color w:val="000000" w:themeColor="text1"/>
              </w:rPr>
            </w:pPr>
            <w:r>
              <w:rPr>
                <w:b/>
                <w:color w:val="000000" w:themeColor="text1"/>
              </w:rPr>
              <w:t>Communications</w:t>
            </w:r>
          </w:p>
          <w:p w:rsidR="00D05483" w:rsidRDefault="00D05483" w:rsidP="008D298D">
            <w:pPr>
              <w:spacing w:after="0" w:line="240" w:lineRule="auto"/>
              <w:ind w:left="274"/>
              <w:rPr>
                <w:rFonts w:cstheme="minorHAnsi"/>
                <w:color w:val="000000" w:themeColor="text1"/>
              </w:rPr>
            </w:pPr>
            <w:r>
              <w:rPr>
                <w:color w:val="000000" w:themeColor="text1"/>
              </w:rPr>
              <w:t xml:space="preserve">Documented long distance calls. </w:t>
            </w:r>
          </w:p>
        </w:tc>
        <w:tc>
          <w:tcPr>
            <w:tcW w:w="6981" w:type="dxa"/>
            <w:tcBorders>
              <w:top w:val="single" w:sz="4" w:space="0" w:color="auto"/>
              <w:left w:val="single" w:sz="4" w:space="0" w:color="auto"/>
              <w:bottom w:val="single" w:sz="4" w:space="0" w:color="auto"/>
              <w:right w:val="single" w:sz="4" w:space="0" w:color="auto"/>
            </w:tcBorders>
          </w:tcPr>
          <w:p w:rsidR="00D05483" w:rsidRDefault="00D05483" w:rsidP="008D298D">
            <w:pPr>
              <w:spacing w:after="0" w:line="240" w:lineRule="auto"/>
              <w:ind w:left="274"/>
              <w:rPr>
                <w:b/>
                <w:color w:val="000000" w:themeColor="text1"/>
              </w:rPr>
            </w:pPr>
            <w:r>
              <w:rPr>
                <w:b/>
                <w:color w:val="000000" w:themeColor="text1"/>
              </w:rPr>
              <w:t>Communications</w:t>
            </w:r>
          </w:p>
          <w:p w:rsidR="00D05483" w:rsidRPr="00343014" w:rsidRDefault="00D05483" w:rsidP="008D298D">
            <w:pPr>
              <w:spacing w:after="0" w:line="240" w:lineRule="auto"/>
              <w:ind w:left="274"/>
              <w:rPr>
                <w:color w:val="000000" w:themeColor="text1"/>
              </w:rPr>
            </w:pPr>
            <w:r w:rsidRPr="00343014">
              <w:rPr>
                <w:color w:val="000000" w:themeColor="text1"/>
              </w:rPr>
              <w:t xml:space="preserve">Local calls, telephone equipment purchases and installation/repair, cell phones and use, pagers, network charges. </w:t>
            </w:r>
          </w:p>
        </w:tc>
      </w:tr>
      <w:tr w:rsidR="00D05483" w:rsidRPr="002D736F" w:rsidTr="008D298D">
        <w:trPr>
          <w:trHeight w:val="971"/>
        </w:trPr>
        <w:tc>
          <w:tcPr>
            <w:tcW w:w="7200" w:type="dxa"/>
            <w:gridSpan w:val="2"/>
            <w:tcBorders>
              <w:top w:val="single" w:sz="4" w:space="0" w:color="auto"/>
              <w:left w:val="single" w:sz="4" w:space="0" w:color="auto"/>
              <w:bottom w:val="single" w:sz="4" w:space="0" w:color="auto"/>
              <w:right w:val="single" w:sz="4" w:space="0" w:color="auto"/>
            </w:tcBorders>
          </w:tcPr>
          <w:p w:rsidR="00D05483" w:rsidRDefault="00D05483" w:rsidP="008D298D">
            <w:pPr>
              <w:spacing w:after="0" w:line="240" w:lineRule="auto"/>
              <w:ind w:left="274"/>
              <w:rPr>
                <w:b/>
                <w:color w:val="000000" w:themeColor="text1"/>
              </w:rPr>
            </w:pPr>
            <w:r>
              <w:rPr>
                <w:b/>
                <w:color w:val="000000" w:themeColor="text1"/>
              </w:rPr>
              <w:t>Postage &amp; Mailing</w:t>
            </w:r>
          </w:p>
          <w:p w:rsidR="00D05483" w:rsidRDefault="00D05483" w:rsidP="008D298D">
            <w:pPr>
              <w:spacing w:after="0" w:line="240" w:lineRule="auto"/>
              <w:ind w:left="274"/>
              <w:rPr>
                <w:rFonts w:cstheme="minorHAnsi"/>
                <w:color w:val="000000" w:themeColor="text1"/>
              </w:rPr>
            </w:pPr>
            <w:r w:rsidRPr="000C3B3C">
              <w:rPr>
                <w:color w:val="000000" w:themeColor="text1"/>
              </w:rPr>
              <w:t xml:space="preserve">Express postage for time-sensitive materials. </w:t>
            </w:r>
          </w:p>
        </w:tc>
        <w:tc>
          <w:tcPr>
            <w:tcW w:w="6981" w:type="dxa"/>
            <w:tcBorders>
              <w:top w:val="single" w:sz="4" w:space="0" w:color="auto"/>
              <w:left w:val="single" w:sz="4" w:space="0" w:color="auto"/>
              <w:bottom w:val="single" w:sz="4" w:space="0" w:color="auto"/>
              <w:right w:val="single" w:sz="4" w:space="0" w:color="auto"/>
            </w:tcBorders>
          </w:tcPr>
          <w:p w:rsidR="00D05483" w:rsidRDefault="00D05483" w:rsidP="008D298D">
            <w:pPr>
              <w:spacing w:after="0" w:line="240" w:lineRule="auto"/>
              <w:ind w:left="274"/>
              <w:rPr>
                <w:b/>
                <w:color w:val="000000" w:themeColor="text1"/>
              </w:rPr>
            </w:pPr>
            <w:r>
              <w:rPr>
                <w:b/>
                <w:color w:val="000000" w:themeColor="text1"/>
              </w:rPr>
              <w:t>Postage &amp; Mailing</w:t>
            </w:r>
          </w:p>
          <w:p w:rsidR="00D05483" w:rsidRDefault="00D05483" w:rsidP="008D298D">
            <w:pPr>
              <w:spacing w:after="0" w:line="240" w:lineRule="auto"/>
              <w:ind w:left="274"/>
              <w:rPr>
                <w:b/>
                <w:color w:val="000000" w:themeColor="text1"/>
              </w:rPr>
            </w:pPr>
            <w:r w:rsidRPr="000C3B3C">
              <w:rPr>
                <w:color w:val="000000" w:themeColor="text1"/>
              </w:rPr>
              <w:t xml:space="preserve">Express </w:t>
            </w:r>
            <w:r>
              <w:rPr>
                <w:color w:val="000000" w:themeColor="text1"/>
              </w:rPr>
              <w:t xml:space="preserve">service of proposals and progress reports, local postage costs, international postage, bulk mail services and University mail services. </w:t>
            </w:r>
          </w:p>
        </w:tc>
      </w:tr>
      <w:tr w:rsidR="00D05483" w:rsidRPr="002D736F" w:rsidTr="008D298D">
        <w:trPr>
          <w:trHeight w:val="719"/>
        </w:trPr>
        <w:tc>
          <w:tcPr>
            <w:tcW w:w="7200" w:type="dxa"/>
            <w:gridSpan w:val="2"/>
            <w:tcBorders>
              <w:top w:val="single" w:sz="4" w:space="0" w:color="auto"/>
              <w:left w:val="single" w:sz="4" w:space="0" w:color="auto"/>
              <w:bottom w:val="single" w:sz="4" w:space="0" w:color="auto"/>
              <w:right w:val="single" w:sz="4" w:space="0" w:color="auto"/>
            </w:tcBorders>
          </w:tcPr>
          <w:p w:rsidR="00D05483" w:rsidRDefault="00D05483" w:rsidP="008D298D">
            <w:pPr>
              <w:spacing w:after="0" w:line="240" w:lineRule="auto"/>
              <w:ind w:left="274"/>
              <w:rPr>
                <w:b/>
                <w:color w:val="000000" w:themeColor="text1"/>
              </w:rPr>
            </w:pPr>
            <w:r>
              <w:rPr>
                <w:b/>
                <w:color w:val="000000" w:themeColor="text1"/>
              </w:rPr>
              <w:t>Other</w:t>
            </w:r>
          </w:p>
          <w:p w:rsidR="00D05483" w:rsidRDefault="00D05483" w:rsidP="008D298D">
            <w:pPr>
              <w:spacing w:after="0" w:line="240" w:lineRule="auto"/>
              <w:ind w:left="274"/>
              <w:rPr>
                <w:rFonts w:cstheme="minorHAnsi"/>
                <w:color w:val="000000" w:themeColor="text1"/>
              </w:rPr>
            </w:pPr>
            <w:r>
              <w:rPr>
                <w:color w:val="000000" w:themeColor="text1"/>
              </w:rPr>
              <w:t xml:space="preserve">Human subject payments and subrecipient costs. </w:t>
            </w:r>
          </w:p>
        </w:tc>
        <w:tc>
          <w:tcPr>
            <w:tcW w:w="6981" w:type="dxa"/>
            <w:tcBorders>
              <w:top w:val="single" w:sz="4" w:space="0" w:color="auto"/>
              <w:left w:val="single" w:sz="4" w:space="0" w:color="auto"/>
              <w:bottom w:val="single" w:sz="4" w:space="0" w:color="auto"/>
              <w:right w:val="single" w:sz="4" w:space="0" w:color="auto"/>
            </w:tcBorders>
          </w:tcPr>
          <w:p w:rsidR="00D05483" w:rsidRDefault="00D05483" w:rsidP="008D298D">
            <w:pPr>
              <w:spacing w:after="0" w:line="240" w:lineRule="auto"/>
              <w:ind w:left="274"/>
              <w:rPr>
                <w:b/>
                <w:color w:val="000000" w:themeColor="text1"/>
              </w:rPr>
            </w:pPr>
            <w:r>
              <w:rPr>
                <w:b/>
                <w:color w:val="000000" w:themeColor="text1"/>
              </w:rPr>
              <w:t>Other</w:t>
            </w:r>
          </w:p>
          <w:p w:rsidR="00D05483" w:rsidRDefault="00D05483" w:rsidP="006937DD">
            <w:pPr>
              <w:spacing w:after="0" w:line="240" w:lineRule="auto"/>
              <w:ind w:left="274"/>
              <w:rPr>
                <w:b/>
                <w:color w:val="000000" w:themeColor="text1"/>
              </w:rPr>
            </w:pPr>
            <w:r>
              <w:rPr>
                <w:color w:val="000000" w:themeColor="text1"/>
              </w:rPr>
              <w:t xml:space="preserve">Dues and memberships, parking fines, </w:t>
            </w:r>
            <w:r w:rsidR="006937DD">
              <w:rPr>
                <w:color w:val="000000" w:themeColor="text1"/>
              </w:rPr>
              <w:t>subscriptions</w:t>
            </w:r>
            <w:r>
              <w:rPr>
                <w:color w:val="000000" w:themeColor="text1"/>
              </w:rPr>
              <w:t xml:space="preserve">. </w:t>
            </w:r>
          </w:p>
        </w:tc>
      </w:tr>
    </w:tbl>
    <w:p w:rsidR="004F5C66" w:rsidRPr="002D736F" w:rsidRDefault="004F5C66">
      <w:pPr>
        <w:rPr>
          <w:color w:val="000000" w:themeColor="text1"/>
        </w:rPr>
      </w:pPr>
    </w:p>
    <w:sectPr w:rsidR="004F5C66" w:rsidRPr="002D736F" w:rsidSect="00313F9C">
      <w:headerReference w:type="default" r:id="rId10"/>
      <w:pgSz w:w="15840" w:h="12240" w:orient="landscape"/>
      <w:pgMar w:top="224" w:right="720" w:bottom="576" w:left="72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AD2" w:rsidRDefault="007D6AD2" w:rsidP="007D6AD2">
      <w:pPr>
        <w:spacing w:after="0" w:line="240" w:lineRule="auto"/>
      </w:pPr>
      <w:r>
        <w:separator/>
      </w:r>
    </w:p>
  </w:endnote>
  <w:endnote w:type="continuationSeparator" w:id="0">
    <w:p w:rsidR="007D6AD2" w:rsidRDefault="007D6AD2" w:rsidP="007D6A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dobe Heiti Std R">
    <w:altName w:val="Arial Unicode MS"/>
    <w:panose1 w:val="00000000000000000000"/>
    <w:charset w:val="80"/>
    <w:family w:val="swiss"/>
    <w:notTrueType/>
    <w:pitch w:val="variable"/>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AD2" w:rsidRDefault="007D6AD2" w:rsidP="007D6AD2">
      <w:pPr>
        <w:spacing w:after="0" w:line="240" w:lineRule="auto"/>
      </w:pPr>
      <w:r>
        <w:separator/>
      </w:r>
    </w:p>
  </w:footnote>
  <w:footnote w:type="continuationSeparator" w:id="0">
    <w:p w:rsidR="007D6AD2" w:rsidRDefault="007D6AD2" w:rsidP="007D6A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9C" w:rsidRPr="000E733B" w:rsidRDefault="00313F9C" w:rsidP="00313F9C">
    <w:pPr>
      <w:pStyle w:val="Header"/>
      <w:rPr>
        <w:b/>
      </w:rPr>
    </w:pPr>
    <w:r w:rsidRPr="000E733B">
      <w:rPr>
        <w:b/>
      </w:rPr>
      <w:t>University of Florida</w:t>
    </w:r>
    <w:r w:rsidRPr="000E733B">
      <w:rPr>
        <w:b/>
      </w:rPr>
      <w:tab/>
    </w:r>
    <w:r w:rsidRPr="000E733B">
      <w:rPr>
        <w:b/>
      </w:rPr>
      <w:tab/>
    </w:r>
    <w:r w:rsidRPr="000E733B">
      <w:rPr>
        <w:b/>
      </w:rPr>
      <w:tab/>
      <w:t>Reference Guide to Cost Principles</w:t>
    </w:r>
  </w:p>
  <w:p w:rsidR="00313F9C" w:rsidRDefault="00313F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F2029"/>
    <w:multiLevelType w:val="hybridMultilevel"/>
    <w:tmpl w:val="FB9A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73E20"/>
    <w:multiLevelType w:val="hybridMultilevel"/>
    <w:tmpl w:val="29808C3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
    <w:nsid w:val="3C8C7B1E"/>
    <w:multiLevelType w:val="hybridMultilevel"/>
    <w:tmpl w:val="0AE2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0B5AB8"/>
    <w:multiLevelType w:val="hybridMultilevel"/>
    <w:tmpl w:val="0026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563CE"/>
    <w:multiLevelType w:val="hybridMultilevel"/>
    <w:tmpl w:val="300CB3C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nsid w:val="60293D03"/>
    <w:multiLevelType w:val="hybridMultilevel"/>
    <w:tmpl w:val="9630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E82BE7"/>
    <w:multiLevelType w:val="hybridMultilevel"/>
    <w:tmpl w:val="FDDA2222"/>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110"/>
  <w:displayHorizontalDrawingGridEvery w:val="2"/>
  <w:characterSpacingControl w:val="doNotCompress"/>
  <w:hdrShapeDefaults>
    <o:shapedefaults v:ext="edit" spidmax="8193">
      <o:colormenu v:ext="edit" fillcolor="none [1305]"/>
    </o:shapedefaults>
  </w:hdrShapeDefaults>
  <w:footnotePr>
    <w:footnote w:id="-1"/>
    <w:footnote w:id="0"/>
  </w:footnotePr>
  <w:endnotePr>
    <w:endnote w:id="-1"/>
    <w:endnote w:id="0"/>
  </w:endnotePr>
  <w:compat>
    <w:useFELayout/>
  </w:compat>
  <w:rsids>
    <w:rsidRoot w:val="00BC0A0F"/>
    <w:rsid w:val="00062462"/>
    <w:rsid w:val="000C3B3C"/>
    <w:rsid w:val="000E733B"/>
    <w:rsid w:val="0015574C"/>
    <w:rsid w:val="001E2074"/>
    <w:rsid w:val="002007E7"/>
    <w:rsid w:val="00214BE6"/>
    <w:rsid w:val="0024162E"/>
    <w:rsid w:val="00275FAC"/>
    <w:rsid w:val="002760BF"/>
    <w:rsid w:val="002840ED"/>
    <w:rsid w:val="002D736F"/>
    <w:rsid w:val="00313F9C"/>
    <w:rsid w:val="00317CA9"/>
    <w:rsid w:val="00336163"/>
    <w:rsid w:val="00343014"/>
    <w:rsid w:val="00350498"/>
    <w:rsid w:val="003574AE"/>
    <w:rsid w:val="003A52BB"/>
    <w:rsid w:val="003F0841"/>
    <w:rsid w:val="003F2D5C"/>
    <w:rsid w:val="0045271B"/>
    <w:rsid w:val="004F5C66"/>
    <w:rsid w:val="00535850"/>
    <w:rsid w:val="005579E3"/>
    <w:rsid w:val="005E61C9"/>
    <w:rsid w:val="006543AF"/>
    <w:rsid w:val="006937DD"/>
    <w:rsid w:val="006A3A6E"/>
    <w:rsid w:val="006D75F5"/>
    <w:rsid w:val="0072371F"/>
    <w:rsid w:val="00724882"/>
    <w:rsid w:val="00743080"/>
    <w:rsid w:val="007D6AD2"/>
    <w:rsid w:val="007E2867"/>
    <w:rsid w:val="007F744D"/>
    <w:rsid w:val="0084476B"/>
    <w:rsid w:val="008D298D"/>
    <w:rsid w:val="009424A0"/>
    <w:rsid w:val="00AA175C"/>
    <w:rsid w:val="00AA5895"/>
    <w:rsid w:val="00B57A8A"/>
    <w:rsid w:val="00BC0A0F"/>
    <w:rsid w:val="00BE4C54"/>
    <w:rsid w:val="00C1505C"/>
    <w:rsid w:val="00C55D5B"/>
    <w:rsid w:val="00C7662B"/>
    <w:rsid w:val="00C830FB"/>
    <w:rsid w:val="00CA701D"/>
    <w:rsid w:val="00CE2728"/>
    <w:rsid w:val="00D05483"/>
    <w:rsid w:val="00D34BAC"/>
    <w:rsid w:val="00D602DC"/>
    <w:rsid w:val="00DC3402"/>
    <w:rsid w:val="00DD6CB8"/>
    <w:rsid w:val="00E241D8"/>
    <w:rsid w:val="00E3772A"/>
    <w:rsid w:val="00EA6CCA"/>
    <w:rsid w:val="00EF3DC4"/>
    <w:rsid w:val="00F65ECF"/>
    <w:rsid w:val="00F76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13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7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C66"/>
    <w:pPr>
      <w:ind w:left="720"/>
      <w:contextualSpacing/>
    </w:pPr>
  </w:style>
  <w:style w:type="character" w:styleId="Hyperlink">
    <w:name w:val="Hyperlink"/>
    <w:basedOn w:val="DefaultParagraphFont"/>
    <w:uiPriority w:val="99"/>
    <w:unhideWhenUsed/>
    <w:rsid w:val="003574AE"/>
    <w:rPr>
      <w:color w:val="8E58B6" w:themeColor="hyperlink"/>
      <w:u w:val="single"/>
    </w:rPr>
  </w:style>
  <w:style w:type="character" w:styleId="FollowedHyperlink">
    <w:name w:val="FollowedHyperlink"/>
    <w:basedOn w:val="DefaultParagraphFont"/>
    <w:uiPriority w:val="99"/>
    <w:semiHidden/>
    <w:unhideWhenUsed/>
    <w:rsid w:val="003574AE"/>
    <w:rPr>
      <w:color w:val="7F6F6F" w:themeColor="followedHyperlink"/>
      <w:u w:val="single"/>
    </w:rPr>
  </w:style>
  <w:style w:type="paragraph" w:styleId="BalloonText">
    <w:name w:val="Balloon Text"/>
    <w:basedOn w:val="Normal"/>
    <w:link w:val="BalloonTextChar"/>
    <w:uiPriority w:val="99"/>
    <w:semiHidden/>
    <w:unhideWhenUsed/>
    <w:rsid w:val="008D2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98D"/>
    <w:rPr>
      <w:rFonts w:ascii="Tahoma" w:hAnsi="Tahoma" w:cs="Tahoma"/>
      <w:sz w:val="16"/>
      <w:szCs w:val="16"/>
    </w:rPr>
  </w:style>
  <w:style w:type="paragraph" w:styleId="Header">
    <w:name w:val="header"/>
    <w:basedOn w:val="Normal"/>
    <w:link w:val="HeaderChar"/>
    <w:uiPriority w:val="99"/>
    <w:unhideWhenUsed/>
    <w:rsid w:val="007D6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AD2"/>
  </w:style>
  <w:style w:type="paragraph" w:styleId="Footer">
    <w:name w:val="footer"/>
    <w:basedOn w:val="Normal"/>
    <w:link w:val="FooterChar"/>
    <w:uiPriority w:val="99"/>
    <w:unhideWhenUsed/>
    <w:rsid w:val="007D6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C66"/>
    <w:pPr>
      <w:ind w:left="720"/>
      <w:contextualSpacing/>
    </w:pPr>
  </w:style>
  <w:style w:type="character" w:styleId="Hyperlink">
    <w:name w:val="Hyperlink"/>
    <w:basedOn w:val="DefaultParagraphFont"/>
    <w:uiPriority w:val="99"/>
    <w:unhideWhenUsed/>
    <w:rsid w:val="003574AE"/>
    <w:rPr>
      <w:color w:val="8E58B6" w:themeColor="hyperlink"/>
      <w:u w:val="single"/>
    </w:rPr>
  </w:style>
  <w:style w:type="character" w:styleId="FollowedHyperlink">
    <w:name w:val="FollowedHyperlink"/>
    <w:basedOn w:val="DefaultParagraphFont"/>
    <w:uiPriority w:val="99"/>
    <w:semiHidden/>
    <w:unhideWhenUsed/>
    <w:rsid w:val="003574AE"/>
    <w:rPr>
      <w:color w:val="7F6F6F" w:themeColor="followedHyperlink"/>
      <w:u w:val="single"/>
    </w:rPr>
  </w:style>
  <w:style w:type="paragraph" w:styleId="BalloonText">
    <w:name w:val="Balloon Text"/>
    <w:basedOn w:val="Normal"/>
    <w:link w:val="BalloonTextChar"/>
    <w:uiPriority w:val="99"/>
    <w:semiHidden/>
    <w:unhideWhenUsed/>
    <w:rsid w:val="008D2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98D"/>
    <w:rPr>
      <w:rFonts w:ascii="Tahoma" w:hAnsi="Tahoma" w:cs="Tahoma"/>
      <w:sz w:val="16"/>
      <w:szCs w:val="16"/>
    </w:rPr>
  </w:style>
  <w:style w:type="paragraph" w:styleId="Header">
    <w:name w:val="header"/>
    <w:basedOn w:val="Normal"/>
    <w:link w:val="HeaderChar"/>
    <w:uiPriority w:val="99"/>
    <w:unhideWhenUsed/>
    <w:rsid w:val="007D6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AD2"/>
  </w:style>
  <w:style w:type="paragraph" w:styleId="Footer">
    <w:name w:val="footer"/>
    <w:basedOn w:val="Normal"/>
    <w:link w:val="FooterChar"/>
    <w:uiPriority w:val="99"/>
    <w:unhideWhenUsed/>
    <w:rsid w:val="007D6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A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omb/circulars_a21_2004"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search.ufl.edu/research.html"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CFED4-A1C7-4EC5-A5BA-C4E8D1F7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821</Words>
  <Characters>4684</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Operations Analysis</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Slater</dc:creator>
  <cp:lastModifiedBy>OA</cp:lastModifiedBy>
  <cp:revision>2</cp:revision>
  <cp:lastPrinted>2012-11-14T14:48:00Z</cp:lastPrinted>
  <dcterms:created xsi:type="dcterms:W3CDTF">2012-11-14T14:51:00Z</dcterms:created>
  <dcterms:modified xsi:type="dcterms:W3CDTF">2012-11-14T14:51:00Z</dcterms:modified>
</cp:coreProperties>
</file>